
<file path=[Content_Types].xml><?xml version="1.0" encoding="utf-8"?>
<Types xmlns="http://schemas.openxmlformats.org/package/2006/content-types">
  <Default ContentType="application/xml" Extension="xml"/>
  <Default ContentType="application/vnd.openxmlformats-package.relationships+xml" Extension="rels"/>
  <Override ContentType="application/vnd.openxmlformats-officedocument.extended-properties+xml" PartName="/docProps/app.xml"/>
  <Override ContentType="application/vnd.openxmlformats-package.core-properties+xml" PartName="/docProps/core.xml"/>
  <Override ContentType="application/vnd.openxmlformats-officedocument.wordprocessingml.document.main+xml" PartName="/word/document.xml"/>
  <Override ContentType="application/vnd.openxmlformats-officedocument.wordprocessingml.fontTable+xml" PartName="/word/fontTable.xml"/>
  <Override ContentType="application/vnd.openxmlformats-officedocument.wordprocessingml.footer+xml" PartName="/word/footer3.xml"/>
  <Override ContentType="application/vnd.openxmlformats-officedocument.wordprocessingml.header+xml" PartName="/word/header1.xml"/>
  <Override ContentType="application/vnd.openxmlformats-officedocument.wordprocessingml.header+xml" PartName="/word/header2.xml"/>
  <Override ContentType="application/vnd.openxmlformats-officedocument.wordprocessingml.settings+xml" PartName="/word/settings.xml"/>
  <Override ContentType="application/vnd.openxmlformats-officedocument.wordprocessingml.styles+xml" PartName="/word/styles.xml"/>
  <Override ContentType="application/vnd.ms-word.stylesWithEffects+xml" PartName="/word/stylesWithEffects.xml"/>
  <Override ContentType="application/vnd.openxmlformats-officedocument.theme+xml" PartName="/word/theme/theme1.xml"/>
  <Override ContentType="application/vnd.openxmlformats-officedocument.wordprocessingml.webSettings+xml" PartName="/word/webSettings.xml"/>
</Types>
</file>

<file path=_rels/.rels><?xml version="1.0" encoding="UTF-8" standalone="no" ?>
<Relationships xmlns="http://schemas.openxmlformats.org/package/2006/relationships">
  <Relationship Id="rId1" Target="word/document.xml" Type="http://schemas.openxmlformats.org/officeDocument/2006/relationships/officeDocument"/>
  <Relationship Id="rId2" Target="docProps/app.xml" Type="http://schemas.openxmlformats.org/officeDocument/2006/relationships/extended-properties"/>
  <Relationship Id="rId3" Target="docProps/core.xml" Type="http://schemas.openxmlformats.org/package/2006/relationships/metadata/core-properties"/>
</Relationships>

</file>

<file path=word/document.xml><?xml version="1.0" encoding="utf-8"?>
<w:document xmlns:a="http://schemas.openxmlformats.org/drawingml/2006/main" xmlns:a15="http://schemas.microsoft.com/office/drawing/2012/main" xmlns:asvg="http://schemas.microsoft.com/office/drawing/2016/SVG/main" xmlns:c="http://schemas.openxmlformats.org/drawingml/2006/chart" xmlns:co="http://ncloudtech.com" xmlns:co-ooxml="http://ncloudtech.com/ooxml" xmlns:m="http://schemas.openxmlformats.org/officeDocument/2006/math" xmlns:mc="http://schemas.openxmlformats.org/markup-compatibility/2006" xmlns:o="urn:schemas-microsoft-com:office:office" xmlns:p="http://schemas.openxmlformats.org/presentationml/2006/main" xmlns:pic="http://schemas.openxmlformats.org/drawingml/2006/picture" xmlns:r="http://schemas.openxmlformats.org/officeDocument/2006/relationships" xmlns:s="http://schemas.openxmlformats.org/officeDocument/2006/sharedTypes" xmlns:sl="http://schemas.openxmlformats.org/schemaLibrary/2006/main" xmlns:v="urn:schemas-microsoft-com:vml" xmlns:w="http://schemas.openxmlformats.org/wordprocessingml/2006/main" xmlns:w10="urn:schemas-microsoft-com:office:word" xmlns:w14="http://schemas.microsoft.com/office/word/2010/wordml" xmlns:w15="http://schemas.microsoft.com/office/word/2012/wordml" xmlns:wp="http://schemas.openxmlformats.org/drawingml/2006/wordprocessingDrawing" xmlns:wpg="http://schemas.microsoft.com/office/word/2010/wordprocessingGroup" xmlns:wps="http://schemas.microsoft.com/office/word/2010/wordprocessingShape" xmlns:x="urn:schemas-microsoft-com:office:excel" xmlns:x12ac="http://schemas.microsoft.com/office/spreadsheetml/2011/1/ac" xmlns:x14="http://schemas.microsoft.com/office/spreadsheetml/2009/9/main" xmlns:xdr="http://schemas.openxmlformats.org/drawingml/2006/spreadsheetDrawing" xmlns:xm="http://schemas.microsoft.com/office/excel/2006/main" mc:Ignorable="co co-ooxml w14 x14 w15">
  <w:body>
    <w:p w14:paraId="07000000">
      <w:pPr>
        <w:widowControl w:val="1"/>
        <w:spacing w:line="276" w:lineRule="auto"/>
        <w:ind w:left="5103"/>
        <w:jc w:val="right"/>
        <w:rPr>
          <w:sz w:val="24"/>
        </w:rPr>
      </w:pPr>
      <w:bookmarkStart w:id="1" w:name="_GoBack"/>
      <w:bookmarkEnd w:id="1"/>
      <w:r>
        <w:rPr>
          <w:sz w:val="24"/>
        </w:rPr>
        <w:t xml:space="preserve">Приложение </w:t>
      </w:r>
      <w:r>
        <w:rPr>
          <w:sz w:val="24"/>
        </w:rPr>
        <w:t xml:space="preserve">к приказу ФГУП «ВГСЧ» </w:t>
      </w:r>
    </w:p>
    <w:p w14:paraId="08000000">
      <w:pPr>
        <w:widowControl w:val="1"/>
        <w:spacing w:line="276" w:lineRule="auto"/>
        <w:ind w:left="5103"/>
        <w:jc w:val="right"/>
        <w:rPr>
          <w:sz w:val="24"/>
        </w:rPr>
      </w:pPr>
      <w:r>
        <w:rPr>
          <w:sz w:val="24"/>
        </w:rPr>
        <w:t>от ____________ № _______________</w:t>
      </w:r>
    </w:p>
    <w:p w14:paraId="09000000">
      <w:pPr>
        <w:widowControl w:val="1"/>
        <w:ind/>
        <w:jc w:val="center"/>
        <w:rPr>
          <w:b w:val="1"/>
          <w:sz w:val="26"/>
        </w:rPr>
      </w:pPr>
      <w:r>
        <w:rPr>
          <w:b w:val="1"/>
          <w:sz w:val="26"/>
        </w:rPr>
        <w:t>Программа</w:t>
      </w:r>
    </w:p>
    <w:p w14:paraId="0A000000">
      <w:pPr>
        <w:widowControl w:val="1"/>
        <w:ind/>
        <w:jc w:val="center"/>
        <w:rPr>
          <w:b w:val="1"/>
          <w:sz w:val="26"/>
        </w:rPr>
      </w:pPr>
      <w:r>
        <w:rPr>
          <w:b w:val="1"/>
          <w:sz w:val="26"/>
        </w:rPr>
        <w:t xml:space="preserve">проведения круглого стола в рамках </w:t>
      </w:r>
      <w:r>
        <w:rPr>
          <w:b w:val="1"/>
          <w:sz w:val="26"/>
        </w:rPr>
        <w:t xml:space="preserve">межведомственных опытно-исследовательских учений сил и средств единой государственной системы предупреждения и ликвидации чрезвычайных ситуаций в Арктической зоне </w:t>
      </w:r>
      <w:r>
        <w:rPr>
          <w:b w:val="1"/>
          <w:sz w:val="26"/>
        </w:rPr>
        <w:br/>
      </w:r>
      <w:r>
        <w:rPr>
          <w:b w:val="1"/>
          <w:sz w:val="26"/>
        </w:rPr>
        <w:t>Российской Федерации «Безопасная Арктика – 2025»</w:t>
      </w:r>
    </w:p>
    <w:p w14:paraId="0B000000">
      <w:pPr>
        <w:rPr>
          <w:b w:val="1"/>
          <w:sz w:val="26"/>
        </w:rPr>
      </w:pPr>
    </w:p>
    <w:p w14:paraId="0C000000">
      <w:pPr>
        <w:widowControl w:val="1"/>
        <w:spacing w:line="276" w:lineRule="auto"/>
        <w:ind w:firstLine="708"/>
        <w:jc w:val="both"/>
        <w:rPr>
          <w:b w:val="1"/>
          <w:sz w:val="26"/>
        </w:rPr>
      </w:pPr>
      <w:r>
        <w:rPr>
          <w:b w:val="1"/>
          <w:sz w:val="26"/>
        </w:rPr>
        <w:t xml:space="preserve">Тема: </w:t>
      </w:r>
      <w:r>
        <w:rPr>
          <w:sz w:val="26"/>
        </w:rPr>
        <w:t>«Актуальные проблемы ведения горноспасательных работ в условиях Арктической зоны Российской Федерации».</w:t>
      </w:r>
    </w:p>
    <w:p w14:paraId="0D000000">
      <w:pPr>
        <w:widowControl w:val="1"/>
        <w:spacing w:line="276" w:lineRule="auto"/>
        <w:ind w:firstLine="708"/>
        <w:jc w:val="both"/>
        <w:rPr>
          <w:b w:val="1"/>
          <w:sz w:val="26"/>
        </w:rPr>
      </w:pPr>
      <w:r>
        <w:rPr>
          <w:b w:val="1"/>
          <w:sz w:val="26"/>
        </w:rPr>
        <w:t xml:space="preserve">Дата проведения: </w:t>
      </w:r>
      <w:r>
        <w:rPr>
          <w:sz w:val="26"/>
        </w:rPr>
        <w:t xml:space="preserve">29 </w:t>
      </w:r>
      <w:r>
        <w:rPr>
          <w:sz w:val="26"/>
        </w:rPr>
        <w:t>января 2025 года.</w:t>
      </w:r>
    </w:p>
    <w:p w14:paraId="0E000000">
      <w:pPr>
        <w:widowControl w:val="1"/>
        <w:spacing w:line="276" w:lineRule="auto"/>
        <w:ind w:firstLine="708"/>
        <w:jc w:val="both"/>
        <w:rPr>
          <w:b w:val="1"/>
          <w:sz w:val="26"/>
        </w:rPr>
      </w:pPr>
      <w:r>
        <w:rPr>
          <w:b w:val="1"/>
          <w:sz w:val="26"/>
        </w:rPr>
        <w:t xml:space="preserve">Время проведения: </w:t>
      </w:r>
      <w:r>
        <w:rPr>
          <w:sz w:val="26"/>
        </w:rPr>
        <w:t>14 часов 00 минут (мск).</w:t>
      </w:r>
    </w:p>
    <w:p w14:paraId="0F000000">
      <w:pPr>
        <w:widowControl w:val="1"/>
        <w:spacing w:line="276" w:lineRule="auto"/>
        <w:ind w:firstLine="709"/>
        <w:jc w:val="both"/>
        <w:rPr>
          <w:sz w:val="26"/>
        </w:rPr>
      </w:pPr>
      <w:r>
        <w:rPr>
          <w:b w:val="1"/>
          <w:sz w:val="26"/>
        </w:rPr>
        <w:t>Место проведения:</w:t>
      </w:r>
      <w:r>
        <w:rPr>
          <w:sz w:val="26"/>
        </w:rPr>
        <w:t xml:space="preserve"> Филиал </w:t>
      </w:r>
      <w:r>
        <w:rPr>
          <w:sz w:val="26"/>
        </w:rPr>
        <w:t>Мурманского арктического университета в г. Кировске, Мурманской области</w:t>
      </w:r>
      <w:r>
        <w:rPr>
          <w:sz w:val="26"/>
        </w:rPr>
        <w:t>, кабинет № 1205</w:t>
      </w:r>
      <w:r>
        <w:rPr>
          <w:sz w:val="26"/>
        </w:rPr>
        <w:t>.</w:t>
      </w:r>
    </w:p>
    <w:p w14:paraId="10000000">
      <w:pPr>
        <w:widowControl w:val="1"/>
        <w:spacing w:line="276" w:lineRule="auto"/>
        <w:ind w:firstLine="708"/>
        <w:jc w:val="both"/>
        <w:rPr>
          <w:color w:val="000000"/>
          <w:sz w:val="26"/>
        </w:rPr>
      </w:pPr>
      <w:r>
        <w:rPr>
          <w:b w:val="1"/>
          <w:sz w:val="26"/>
        </w:rPr>
        <w:t>Участники:</w:t>
      </w:r>
      <w:r>
        <w:rPr>
          <w:sz w:val="26"/>
        </w:rPr>
        <w:t xml:space="preserve"> представители Департамента спасательных </w:t>
      </w:r>
      <w:r>
        <w:rPr>
          <w:sz w:val="26"/>
        </w:rPr>
        <w:t xml:space="preserve">формирований МЧС России, </w:t>
      </w:r>
      <w:r>
        <w:rPr>
          <w:sz w:val="26"/>
        </w:rPr>
        <w:t xml:space="preserve">аппарат управления </w:t>
      </w:r>
      <w:r>
        <w:rPr>
          <w:sz w:val="26"/>
        </w:rPr>
        <w:t xml:space="preserve">ФГУП «ВГСЧ», </w:t>
      </w:r>
      <w:r>
        <w:rPr>
          <w:sz w:val="26"/>
        </w:rPr>
        <w:t xml:space="preserve">филиалы ФГУП «ВГСЧ», </w:t>
      </w:r>
      <w:r>
        <w:rPr>
          <w:sz w:val="26"/>
        </w:rPr>
        <w:t xml:space="preserve">ФГКУ «Национальный горноспасательный центр», ФАУ «ВГСЧ в строительстве», ФГКУ «ВГСЧ Донецкой народной республики», ФГКУ «ВГСЧ Луганской народной республики», </w:t>
      </w:r>
      <w:r>
        <w:rPr>
          <w:color w:val="000000"/>
          <w:sz w:val="26"/>
        </w:rPr>
        <w:t xml:space="preserve">ООО «ПИК Майнинг», ООО «ЛЕО ТЕЛЕКОМ», ФГБОУ ВО «Санкт-Петербургский университет ГПС МЧС России», </w:t>
      </w:r>
      <w:r>
        <w:rPr>
          <w:sz w:val="26"/>
        </w:rPr>
        <w:t>ГИ</w:t>
      </w:r>
      <w:r>
        <w:rPr>
          <w:color w:val="000000"/>
          <w:sz w:val="26"/>
        </w:rPr>
        <w:t xml:space="preserve"> «УрО </w:t>
      </w:r>
      <w:r>
        <w:rPr>
          <w:sz w:val="26"/>
        </w:rPr>
        <w:t xml:space="preserve">РАН», Горный институт ФГАО ВО «НИТУ МИСИС», </w:t>
      </w:r>
      <w:r>
        <w:rPr>
          <w:color w:val="000000"/>
          <w:sz w:val="26"/>
        </w:rPr>
        <w:t>АО «Апатит».</w:t>
      </w:r>
    </w:p>
    <w:p w14:paraId="11000000">
      <w:pPr>
        <w:widowControl w:val="1"/>
        <w:spacing w:line="276" w:lineRule="auto"/>
        <w:ind w:firstLine="708"/>
        <w:jc w:val="both"/>
        <w:rPr>
          <w:sz w:val="26"/>
        </w:rPr>
      </w:pPr>
    </w:p>
    <w:tbl>
      <w:tblPr>
        <w:tblStyle w:val="Style_4"/>
        <w:tblW w:type="auto" w:w="0"/>
        <w:tblBorders>
          <w:top w:color="000000" w:sz="4" w:val="single"/>
          <w:left w:color="000000" w:sz="4" w:val="single"/>
          <w:bottom w:color="000000" w:sz="4" w:val="single"/>
          <w:right w:color="000000" w:sz="4" w:val="single"/>
          <w:insideH w:color="000000" w:sz="4" w:val="single"/>
          <w:insideV w:color="000000" w:sz="4" w:val="single"/>
        </w:tblBorders>
        <w:tblLayout w:type="fixed"/>
      </w:tblPr>
      <w:tblGrid>
        <w:gridCol w:w="662"/>
        <w:gridCol w:w="2990"/>
        <w:gridCol w:w="2268"/>
        <w:gridCol w:w="1985"/>
        <w:gridCol w:w="4677"/>
        <w:gridCol w:w="1021"/>
        <w:gridCol w:w="1184"/>
      </w:tblGrid>
      <w:tr>
        <w:trPr>
          <w:tblHeader/>
        </w:trPr>
        <w:tc>
          <w:tcPr>
            <w:tcW w:type="dxa" w:w="662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  <w:vAlign w:val="center"/>
          </w:tcPr>
          <w:p w14:paraId="12000000">
            <w:pPr>
              <w:widowControl w:val="1"/>
              <w:ind/>
              <w:jc w:val="center"/>
              <w:rPr>
                <w:b w:val="1"/>
                <w:sz w:val="24"/>
              </w:rPr>
            </w:pPr>
            <w:r>
              <w:rPr>
                <w:b w:val="1"/>
                <w:sz w:val="24"/>
              </w:rPr>
              <w:t>№ п/п</w:t>
            </w:r>
          </w:p>
        </w:tc>
        <w:tc>
          <w:tcPr>
            <w:tcW w:type="dxa" w:w="2990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  <w:vAlign w:val="center"/>
          </w:tcPr>
          <w:p w14:paraId="13000000">
            <w:pPr>
              <w:widowControl w:val="1"/>
              <w:ind/>
              <w:jc w:val="center"/>
              <w:rPr>
                <w:b w:val="1"/>
                <w:sz w:val="24"/>
              </w:rPr>
            </w:pPr>
            <w:r>
              <w:rPr>
                <w:b w:val="1"/>
                <w:sz w:val="24"/>
              </w:rPr>
              <w:t>Организация</w:t>
            </w:r>
          </w:p>
        </w:tc>
        <w:tc>
          <w:tcPr>
            <w:tcW w:type="dxa" w:w="2268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  <w:vAlign w:val="center"/>
          </w:tcPr>
          <w:p w14:paraId="14000000">
            <w:pPr>
              <w:widowControl w:val="1"/>
              <w:ind/>
              <w:jc w:val="center"/>
              <w:rPr>
                <w:b w:val="1"/>
                <w:sz w:val="24"/>
              </w:rPr>
            </w:pPr>
            <w:r>
              <w:rPr>
                <w:b w:val="1"/>
                <w:sz w:val="24"/>
              </w:rPr>
              <w:t>Должность</w:t>
            </w:r>
          </w:p>
        </w:tc>
        <w:tc>
          <w:tcPr>
            <w:tcW w:type="dxa" w:w="1985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  <w:vAlign w:val="center"/>
          </w:tcPr>
          <w:p w14:paraId="15000000">
            <w:pPr>
              <w:widowControl w:val="1"/>
              <w:ind/>
              <w:jc w:val="center"/>
              <w:rPr>
                <w:b w:val="1"/>
                <w:sz w:val="24"/>
              </w:rPr>
            </w:pPr>
            <w:r>
              <w:rPr>
                <w:b w:val="1"/>
                <w:sz w:val="24"/>
              </w:rPr>
              <w:t>Ф.И.О. участника</w:t>
            </w:r>
          </w:p>
        </w:tc>
        <w:tc>
          <w:tcPr>
            <w:tcW w:type="dxa" w:w="4677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  <w:vAlign w:val="center"/>
          </w:tcPr>
          <w:p w14:paraId="16000000">
            <w:pPr>
              <w:widowControl w:val="1"/>
              <w:ind/>
              <w:jc w:val="center"/>
              <w:rPr>
                <w:b w:val="1"/>
                <w:sz w:val="24"/>
              </w:rPr>
            </w:pPr>
            <w:r>
              <w:rPr>
                <w:b w:val="1"/>
                <w:sz w:val="24"/>
              </w:rPr>
              <w:t>Тема доклада</w:t>
            </w:r>
          </w:p>
        </w:tc>
        <w:tc>
          <w:tcPr>
            <w:tcW w:type="dxa" w:w="1021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  <w:vAlign w:val="center"/>
          </w:tcPr>
          <w:p w14:paraId="17000000">
            <w:pPr>
              <w:widowControl w:val="1"/>
              <w:ind/>
              <w:jc w:val="center"/>
              <w:rPr>
                <w:b w:val="1"/>
                <w:sz w:val="24"/>
              </w:rPr>
            </w:pPr>
            <w:r>
              <w:rPr>
                <w:b w:val="1"/>
                <w:sz w:val="24"/>
              </w:rPr>
              <w:t>Время</w:t>
            </w:r>
          </w:p>
        </w:tc>
        <w:tc>
          <w:tcPr>
            <w:tcW w:type="dxa" w:w="1184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  <w:vAlign w:val="center"/>
          </w:tcPr>
          <w:p w14:paraId="18000000">
            <w:pPr>
              <w:widowControl w:val="1"/>
              <w:ind/>
              <w:jc w:val="center"/>
              <w:rPr>
                <w:b w:val="1"/>
                <w:sz w:val="24"/>
              </w:rPr>
            </w:pPr>
            <w:r>
              <w:rPr>
                <w:b w:val="1"/>
                <w:sz w:val="24"/>
              </w:rPr>
              <w:t>Формат</w:t>
            </w:r>
          </w:p>
        </w:tc>
      </w:tr>
      <w:tr>
        <w:tc>
          <w:tcPr>
            <w:tcW w:type="dxa" w:w="662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  <w:vAlign w:val="center"/>
          </w:tcPr>
          <w:p w14:paraId="19000000">
            <w:pPr>
              <w:widowControl w:val="1"/>
              <w:ind/>
              <w:jc w:val="center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type="dxa" w:w="2990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  <w:vAlign w:val="center"/>
          </w:tcPr>
          <w:p w14:paraId="1A000000">
            <w:pPr>
              <w:widowControl w:val="1"/>
              <w:ind/>
              <w:jc w:val="center"/>
              <w:rPr>
                <w:sz w:val="24"/>
              </w:rPr>
            </w:pPr>
            <w:r>
              <w:rPr>
                <w:sz w:val="24"/>
              </w:rPr>
              <w:t>ФГКУ «Национальный горноспасательный центр»</w:t>
            </w:r>
          </w:p>
        </w:tc>
        <w:tc>
          <w:tcPr>
            <w:tcW w:type="dxa" w:w="2268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  <w:vAlign w:val="center"/>
          </w:tcPr>
          <w:p w14:paraId="1B000000">
            <w:pPr>
              <w:widowControl w:val="1"/>
              <w:ind/>
              <w:jc w:val="center"/>
              <w:rPr>
                <w:sz w:val="24"/>
              </w:rPr>
            </w:pPr>
            <w:r>
              <w:rPr>
                <w:sz w:val="24"/>
              </w:rPr>
              <w:t>Начальник научно-исследовательского отдела,</w:t>
            </w:r>
            <w:r>
              <w:rPr>
                <w:sz w:val="24"/>
              </w:rPr>
              <w:br/>
            </w:r>
            <w:r>
              <w:rPr>
                <w:sz w:val="24"/>
              </w:rPr>
              <w:t xml:space="preserve"> к.т.н.</w:t>
            </w:r>
          </w:p>
        </w:tc>
        <w:tc>
          <w:tcPr>
            <w:tcW w:type="dxa" w:w="1985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  <w:vAlign w:val="center"/>
          </w:tcPr>
          <w:p w14:paraId="1C000000">
            <w:pPr>
              <w:widowControl w:val="1"/>
              <w:ind/>
              <w:jc w:val="center"/>
              <w:rPr>
                <w:sz w:val="24"/>
              </w:rPr>
            </w:pPr>
            <w:r>
              <w:rPr>
                <w:sz w:val="24"/>
              </w:rPr>
              <w:t xml:space="preserve">Говорухин </w:t>
            </w:r>
          </w:p>
          <w:p w14:paraId="1D000000">
            <w:pPr>
              <w:widowControl w:val="1"/>
              <w:ind/>
              <w:jc w:val="center"/>
              <w:rPr>
                <w:sz w:val="24"/>
              </w:rPr>
            </w:pPr>
            <w:r>
              <w:rPr>
                <w:sz w:val="24"/>
              </w:rPr>
              <w:t>Юрий</w:t>
            </w:r>
          </w:p>
          <w:p w14:paraId="1E000000">
            <w:pPr>
              <w:widowControl w:val="1"/>
              <w:ind/>
              <w:jc w:val="center"/>
              <w:rPr>
                <w:sz w:val="24"/>
              </w:rPr>
            </w:pPr>
            <w:r>
              <w:rPr>
                <w:sz w:val="24"/>
              </w:rPr>
              <w:t>Михайлович</w:t>
            </w:r>
          </w:p>
        </w:tc>
        <w:tc>
          <w:tcPr>
            <w:tcW w:type="dxa" w:w="4677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  <w:vAlign w:val="center"/>
          </w:tcPr>
          <w:p w14:paraId="1F000000">
            <w:pPr>
              <w:widowControl w:val="1"/>
              <w:ind/>
              <w:jc w:val="center"/>
              <w:rPr>
                <w:sz w:val="24"/>
              </w:rPr>
            </w:pPr>
            <w:r>
              <w:rPr>
                <w:sz w:val="24"/>
              </w:rPr>
              <w:t>О возможности применения современных интеллектуальных систем при ведении горноспасательных работ в условиях подземных выработок с целью повышения их эффективности и безопасности</w:t>
            </w:r>
          </w:p>
        </w:tc>
        <w:tc>
          <w:tcPr>
            <w:tcW w:type="dxa" w:w="1021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  <w:vAlign w:val="center"/>
          </w:tcPr>
          <w:p w14:paraId="20000000">
            <w:pPr>
              <w:widowControl w:val="1"/>
              <w:ind/>
              <w:jc w:val="center"/>
              <w:rPr>
                <w:sz w:val="24"/>
              </w:rPr>
            </w:pPr>
            <w:r>
              <w:rPr>
                <w:sz w:val="24"/>
              </w:rPr>
              <w:t>5-10 минут</w:t>
            </w:r>
          </w:p>
        </w:tc>
        <w:tc>
          <w:tcPr>
            <w:tcW w:type="dxa" w:w="1184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  <w:vAlign w:val="center"/>
          </w:tcPr>
          <w:p w14:paraId="21000000">
            <w:pPr>
              <w:widowControl w:val="1"/>
              <w:ind/>
              <w:jc w:val="center"/>
              <w:rPr>
                <w:sz w:val="24"/>
              </w:rPr>
            </w:pPr>
            <w:r>
              <w:rPr>
                <w:sz w:val="24"/>
              </w:rPr>
              <w:t>Дистан-ционно</w:t>
            </w:r>
          </w:p>
        </w:tc>
      </w:tr>
      <w:tr>
        <w:tc>
          <w:tcPr>
            <w:tcW w:type="dxa" w:w="662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  <w:vAlign w:val="center"/>
          </w:tcPr>
          <w:p w14:paraId="22000000">
            <w:pPr>
              <w:widowControl w:val="1"/>
              <w:ind/>
              <w:jc w:val="center"/>
              <w:rPr>
                <w:sz w:val="24"/>
              </w:rPr>
            </w:pPr>
            <w:r>
              <w:rPr>
                <w:sz w:val="24"/>
              </w:rPr>
              <w:t>2</w:t>
            </w:r>
          </w:p>
        </w:tc>
        <w:tc>
          <w:tcPr>
            <w:tcW w:type="dxa" w:w="2990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  <w:vAlign w:val="center"/>
          </w:tcPr>
          <w:p w14:paraId="23000000">
            <w:pPr>
              <w:widowControl w:val="1"/>
              <w:ind/>
              <w:jc w:val="center"/>
              <w:rPr>
                <w:sz w:val="24"/>
              </w:rPr>
            </w:pPr>
            <w:r>
              <w:rPr>
                <w:sz w:val="24"/>
              </w:rPr>
              <w:t>ФГКУ «Национальный горноспасательный центр»</w:t>
            </w:r>
          </w:p>
        </w:tc>
        <w:tc>
          <w:tcPr>
            <w:tcW w:type="dxa" w:w="2268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  <w:vAlign w:val="center"/>
          </w:tcPr>
          <w:p w14:paraId="24000000">
            <w:pPr>
              <w:widowControl w:val="1"/>
              <w:ind/>
              <w:jc w:val="center"/>
              <w:rPr>
                <w:sz w:val="24"/>
              </w:rPr>
            </w:pPr>
            <w:r>
              <w:rPr>
                <w:sz w:val="24"/>
              </w:rPr>
              <w:t>Старший научный сотрудник,</w:t>
            </w:r>
          </w:p>
          <w:p w14:paraId="25000000">
            <w:pPr>
              <w:widowControl w:val="1"/>
              <w:ind/>
              <w:jc w:val="center"/>
              <w:rPr>
                <w:sz w:val="24"/>
              </w:rPr>
            </w:pPr>
            <w:r>
              <w:rPr>
                <w:sz w:val="24"/>
              </w:rPr>
              <w:t xml:space="preserve"> к.т.н.</w:t>
            </w:r>
          </w:p>
        </w:tc>
        <w:tc>
          <w:tcPr>
            <w:tcW w:type="dxa" w:w="1985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  <w:vAlign w:val="center"/>
          </w:tcPr>
          <w:p w14:paraId="26000000">
            <w:pPr>
              <w:widowControl w:val="1"/>
              <w:ind/>
              <w:jc w:val="center"/>
              <w:rPr>
                <w:sz w:val="24"/>
              </w:rPr>
            </w:pPr>
            <w:r>
              <w:rPr>
                <w:sz w:val="24"/>
              </w:rPr>
              <w:t xml:space="preserve">Николаев </w:t>
            </w:r>
          </w:p>
          <w:p w14:paraId="27000000">
            <w:pPr>
              <w:widowControl w:val="1"/>
              <w:ind/>
              <w:jc w:val="center"/>
              <w:rPr>
                <w:sz w:val="24"/>
              </w:rPr>
            </w:pPr>
            <w:r>
              <w:rPr>
                <w:sz w:val="24"/>
              </w:rPr>
              <w:t>Алексей</w:t>
            </w:r>
          </w:p>
          <w:p w14:paraId="28000000">
            <w:pPr>
              <w:widowControl w:val="1"/>
              <w:ind/>
              <w:jc w:val="center"/>
              <w:rPr>
                <w:sz w:val="24"/>
              </w:rPr>
            </w:pPr>
            <w:r>
              <w:rPr>
                <w:sz w:val="24"/>
              </w:rPr>
              <w:t>Викторович</w:t>
            </w:r>
          </w:p>
        </w:tc>
        <w:tc>
          <w:tcPr>
            <w:tcW w:type="dxa" w:w="4677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  <w:vAlign w:val="center"/>
          </w:tcPr>
          <w:p w14:paraId="29000000">
            <w:pPr>
              <w:widowControl w:val="1"/>
              <w:ind/>
              <w:jc w:val="center"/>
              <w:rPr>
                <w:sz w:val="24"/>
              </w:rPr>
            </w:pPr>
            <w:r>
              <w:rPr>
                <w:sz w:val="24"/>
              </w:rPr>
              <w:t>О современных способах и средствах ликвидации последствий аварий на горных предприятиях, связанных с обрушением кровли в подземных выработках и блокированием людей</w:t>
            </w:r>
          </w:p>
        </w:tc>
        <w:tc>
          <w:tcPr>
            <w:tcW w:type="dxa" w:w="1021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  <w:vAlign w:val="center"/>
          </w:tcPr>
          <w:p w14:paraId="2A000000">
            <w:pPr>
              <w:widowControl w:val="1"/>
              <w:ind/>
              <w:jc w:val="center"/>
              <w:rPr>
                <w:sz w:val="24"/>
              </w:rPr>
            </w:pPr>
            <w:r>
              <w:rPr>
                <w:sz w:val="24"/>
              </w:rPr>
              <w:t>5-10 минут</w:t>
            </w:r>
          </w:p>
        </w:tc>
        <w:tc>
          <w:tcPr>
            <w:tcW w:type="dxa" w:w="1184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  <w:vAlign w:val="center"/>
          </w:tcPr>
          <w:p w14:paraId="2B000000">
            <w:pPr>
              <w:widowControl w:val="1"/>
              <w:ind/>
              <w:jc w:val="center"/>
              <w:rPr>
                <w:sz w:val="24"/>
              </w:rPr>
            </w:pPr>
            <w:r>
              <w:rPr>
                <w:sz w:val="24"/>
              </w:rPr>
              <w:t>Дистан-ционно</w:t>
            </w:r>
          </w:p>
        </w:tc>
      </w:tr>
      <w:tr>
        <w:tc>
          <w:tcPr>
            <w:tcW w:type="dxa" w:w="662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  <w:vAlign w:val="center"/>
          </w:tcPr>
          <w:p w14:paraId="2C000000">
            <w:pPr>
              <w:widowControl w:val="1"/>
              <w:ind/>
              <w:jc w:val="center"/>
              <w:rPr>
                <w:sz w:val="24"/>
              </w:rPr>
            </w:pPr>
            <w:r>
              <w:rPr>
                <w:sz w:val="24"/>
              </w:rPr>
              <w:t>3</w:t>
            </w:r>
          </w:p>
        </w:tc>
        <w:tc>
          <w:tcPr>
            <w:tcW w:type="dxa" w:w="2990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  <w:vAlign w:val="center"/>
          </w:tcPr>
          <w:p w14:paraId="2D000000">
            <w:pPr>
              <w:widowControl w:val="1"/>
              <w:ind/>
              <w:jc w:val="center"/>
              <w:rPr>
                <w:sz w:val="24"/>
              </w:rPr>
            </w:pPr>
            <w:r>
              <w:rPr>
                <w:sz w:val="24"/>
              </w:rPr>
              <w:t>ФГКУ «Национальный горноспасательный центр»</w:t>
            </w:r>
          </w:p>
        </w:tc>
        <w:tc>
          <w:tcPr>
            <w:tcW w:type="dxa" w:w="2268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  <w:vAlign w:val="center"/>
          </w:tcPr>
          <w:p w14:paraId="2E000000">
            <w:pPr>
              <w:widowControl w:val="1"/>
              <w:ind/>
              <w:jc w:val="center"/>
              <w:rPr>
                <w:sz w:val="24"/>
              </w:rPr>
            </w:pPr>
            <w:r>
              <w:rPr>
                <w:sz w:val="24"/>
              </w:rPr>
              <w:t xml:space="preserve">Ведущая научный сотрудник, к.т.н. </w:t>
            </w:r>
          </w:p>
        </w:tc>
        <w:tc>
          <w:tcPr>
            <w:tcW w:type="dxa" w:w="1985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  <w:vAlign w:val="center"/>
          </w:tcPr>
          <w:p w14:paraId="2F000000">
            <w:pPr>
              <w:widowControl w:val="1"/>
              <w:ind/>
              <w:jc w:val="center"/>
              <w:rPr>
                <w:sz w:val="24"/>
              </w:rPr>
            </w:pPr>
            <w:r>
              <w:rPr>
                <w:sz w:val="24"/>
              </w:rPr>
              <w:t xml:space="preserve">Сенкус </w:t>
            </w:r>
          </w:p>
          <w:p w14:paraId="30000000">
            <w:pPr>
              <w:widowControl w:val="1"/>
              <w:ind/>
              <w:jc w:val="center"/>
              <w:rPr>
                <w:sz w:val="24"/>
              </w:rPr>
            </w:pPr>
            <w:r>
              <w:rPr>
                <w:sz w:val="24"/>
              </w:rPr>
              <w:t xml:space="preserve">Валентин </w:t>
            </w:r>
          </w:p>
          <w:p w14:paraId="31000000">
            <w:pPr>
              <w:widowControl w:val="1"/>
              <w:ind/>
              <w:jc w:val="center"/>
              <w:rPr>
                <w:sz w:val="24"/>
              </w:rPr>
            </w:pPr>
            <w:r>
              <w:rPr>
                <w:sz w:val="24"/>
              </w:rPr>
              <w:t>Витаутасович</w:t>
            </w:r>
          </w:p>
        </w:tc>
        <w:tc>
          <w:tcPr>
            <w:tcW w:type="dxa" w:w="4677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  <w:vAlign w:val="center"/>
          </w:tcPr>
          <w:p w14:paraId="32000000">
            <w:pPr>
              <w:widowControl w:val="1"/>
              <w:ind/>
              <w:jc w:val="center"/>
              <w:rPr>
                <w:sz w:val="24"/>
              </w:rPr>
            </w:pPr>
            <w:r>
              <w:rPr>
                <w:sz w:val="24"/>
              </w:rPr>
              <w:t xml:space="preserve">Особенности локализации и ликвидации последствий аварий на опасных </w:t>
            </w:r>
            <w:r>
              <w:rPr>
                <w:sz w:val="24"/>
              </w:rPr>
              <w:t>производственных объектах, проводимых в условиях многолетней мерзлоты</w:t>
            </w:r>
          </w:p>
        </w:tc>
        <w:tc>
          <w:tcPr>
            <w:tcW w:type="dxa" w:w="1021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  <w:vAlign w:val="center"/>
          </w:tcPr>
          <w:p w14:paraId="33000000">
            <w:pPr>
              <w:widowControl w:val="1"/>
              <w:ind/>
              <w:jc w:val="center"/>
              <w:rPr>
                <w:sz w:val="24"/>
              </w:rPr>
            </w:pPr>
            <w:r>
              <w:rPr>
                <w:sz w:val="24"/>
              </w:rPr>
              <w:t>5-10 минут</w:t>
            </w:r>
          </w:p>
        </w:tc>
        <w:tc>
          <w:tcPr>
            <w:tcW w:type="dxa" w:w="1184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  <w:vAlign w:val="center"/>
          </w:tcPr>
          <w:p w14:paraId="34000000">
            <w:pPr>
              <w:widowControl w:val="1"/>
              <w:ind/>
              <w:jc w:val="center"/>
              <w:rPr>
                <w:sz w:val="24"/>
              </w:rPr>
            </w:pPr>
            <w:r>
              <w:rPr>
                <w:sz w:val="24"/>
              </w:rPr>
              <w:t>Дистан-ционно</w:t>
            </w:r>
          </w:p>
        </w:tc>
      </w:tr>
      <w:tr>
        <w:tc>
          <w:tcPr>
            <w:tcW w:type="dxa" w:w="662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  <w:vAlign w:val="center"/>
          </w:tcPr>
          <w:p w14:paraId="35000000">
            <w:pPr>
              <w:widowControl w:val="1"/>
              <w:ind/>
              <w:jc w:val="center"/>
              <w:rPr>
                <w:sz w:val="24"/>
              </w:rPr>
            </w:pPr>
            <w:r>
              <w:rPr>
                <w:sz w:val="24"/>
              </w:rPr>
              <w:t>4</w:t>
            </w:r>
          </w:p>
        </w:tc>
        <w:tc>
          <w:tcPr>
            <w:tcW w:type="dxa" w:w="2990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  <w:vAlign w:val="center"/>
          </w:tcPr>
          <w:p w14:paraId="36000000">
            <w:pPr>
              <w:widowControl w:val="1"/>
              <w:ind/>
              <w:jc w:val="center"/>
              <w:rPr>
                <w:sz w:val="24"/>
              </w:rPr>
            </w:pPr>
            <w:r>
              <w:rPr>
                <w:sz w:val="24"/>
              </w:rPr>
              <w:t xml:space="preserve">ГИ </w:t>
            </w:r>
            <w:r>
              <w:rPr>
                <w:color w:val="000000"/>
                <w:sz w:val="24"/>
              </w:rPr>
              <w:t xml:space="preserve">«УрО </w:t>
            </w:r>
            <w:r>
              <w:rPr>
                <w:sz w:val="24"/>
              </w:rPr>
              <w:t>РАН»</w:t>
            </w:r>
          </w:p>
        </w:tc>
        <w:tc>
          <w:tcPr>
            <w:tcW w:type="dxa" w:w="2268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  <w:vAlign w:val="center"/>
          </w:tcPr>
          <w:p w14:paraId="37000000">
            <w:pPr>
              <w:widowControl w:val="1"/>
              <w:ind/>
              <w:jc w:val="center"/>
              <w:rPr>
                <w:sz w:val="24"/>
              </w:rPr>
            </w:pPr>
            <w:r>
              <w:rPr>
                <w:sz w:val="24"/>
              </w:rPr>
              <w:t>Заведующий лабораторией цифровизации</w:t>
            </w:r>
          </w:p>
        </w:tc>
        <w:tc>
          <w:tcPr>
            <w:tcW w:type="dxa" w:w="1985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  <w:vAlign w:val="center"/>
          </w:tcPr>
          <w:p w14:paraId="38000000">
            <w:pPr>
              <w:widowControl w:val="1"/>
              <w:ind/>
              <w:jc w:val="center"/>
              <w:rPr>
                <w:sz w:val="24"/>
              </w:rPr>
            </w:pPr>
            <w:r>
              <w:rPr>
                <w:sz w:val="24"/>
              </w:rPr>
              <w:t xml:space="preserve">Кормщиков Денис </w:t>
            </w:r>
          </w:p>
          <w:p w14:paraId="39000000">
            <w:pPr>
              <w:widowControl w:val="1"/>
              <w:ind/>
              <w:jc w:val="center"/>
              <w:rPr>
                <w:sz w:val="24"/>
              </w:rPr>
            </w:pPr>
            <w:r>
              <w:rPr>
                <w:sz w:val="24"/>
              </w:rPr>
              <w:t>Сергеевич</w:t>
            </w:r>
          </w:p>
        </w:tc>
        <w:tc>
          <w:tcPr>
            <w:tcW w:type="dxa" w:w="4677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  <w:vAlign w:val="center"/>
          </w:tcPr>
          <w:p w14:paraId="3A000000">
            <w:pPr>
              <w:widowControl w:val="1"/>
              <w:ind/>
              <w:jc w:val="center"/>
              <w:rPr>
                <w:sz w:val="24"/>
              </w:rPr>
            </w:pPr>
            <w:r>
              <w:rPr>
                <w:sz w:val="24"/>
              </w:rPr>
              <w:t>Обеспечение безопасности реверсирования вентиляционных стволов в зимний период года</w:t>
            </w:r>
          </w:p>
        </w:tc>
        <w:tc>
          <w:tcPr>
            <w:tcW w:type="dxa" w:w="1021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  <w:vAlign w:val="center"/>
          </w:tcPr>
          <w:p w14:paraId="3B000000">
            <w:pPr>
              <w:widowControl w:val="1"/>
              <w:ind/>
              <w:jc w:val="center"/>
              <w:rPr>
                <w:sz w:val="24"/>
              </w:rPr>
            </w:pPr>
            <w:r>
              <w:rPr>
                <w:sz w:val="24"/>
              </w:rPr>
              <w:t>5-10 минут</w:t>
            </w:r>
          </w:p>
        </w:tc>
        <w:tc>
          <w:tcPr>
            <w:tcW w:type="dxa" w:w="1184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  <w:vAlign w:val="center"/>
          </w:tcPr>
          <w:p w14:paraId="3C000000">
            <w:pPr>
              <w:widowControl w:val="1"/>
              <w:ind/>
              <w:jc w:val="center"/>
              <w:rPr>
                <w:sz w:val="24"/>
              </w:rPr>
            </w:pPr>
            <w:r>
              <w:rPr>
                <w:sz w:val="24"/>
              </w:rPr>
              <w:t>Очно</w:t>
            </w:r>
          </w:p>
        </w:tc>
      </w:tr>
      <w:tr>
        <w:tc>
          <w:tcPr>
            <w:tcW w:type="dxa" w:w="662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  <w:vAlign w:val="center"/>
          </w:tcPr>
          <w:p w14:paraId="3D000000">
            <w:pPr>
              <w:widowControl w:val="1"/>
              <w:ind/>
              <w:jc w:val="center"/>
              <w:rPr>
                <w:sz w:val="24"/>
              </w:rPr>
            </w:pPr>
            <w:r>
              <w:rPr>
                <w:sz w:val="24"/>
              </w:rPr>
              <w:t>5</w:t>
            </w:r>
          </w:p>
        </w:tc>
        <w:tc>
          <w:tcPr>
            <w:tcW w:type="dxa" w:w="2990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  <w:vAlign w:val="center"/>
          </w:tcPr>
          <w:p w14:paraId="3E000000">
            <w:pPr>
              <w:widowControl w:val="1"/>
              <w:ind/>
              <w:jc w:val="center"/>
              <w:rPr>
                <w:sz w:val="24"/>
              </w:rPr>
            </w:pPr>
            <w:r>
              <w:rPr>
                <w:sz w:val="24"/>
              </w:rPr>
              <w:t>ФГУП «ВГСЧ»</w:t>
            </w:r>
          </w:p>
        </w:tc>
        <w:tc>
          <w:tcPr>
            <w:tcW w:type="dxa" w:w="2268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  <w:vAlign w:val="center"/>
          </w:tcPr>
          <w:p w14:paraId="3F000000">
            <w:pPr>
              <w:widowControl w:val="1"/>
              <w:ind/>
              <w:jc w:val="center"/>
              <w:rPr>
                <w:sz w:val="24"/>
              </w:rPr>
            </w:pPr>
            <w:r>
              <w:rPr>
                <w:sz w:val="24"/>
              </w:rPr>
              <w:t>Заместитель начальника отдела технического обеспечения</w:t>
            </w:r>
          </w:p>
        </w:tc>
        <w:tc>
          <w:tcPr>
            <w:tcW w:type="dxa" w:w="1985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  <w:vAlign w:val="center"/>
          </w:tcPr>
          <w:p w14:paraId="40000000">
            <w:pPr>
              <w:widowControl w:val="1"/>
              <w:ind/>
              <w:jc w:val="center"/>
              <w:rPr>
                <w:sz w:val="24"/>
              </w:rPr>
            </w:pPr>
            <w:r>
              <w:rPr>
                <w:sz w:val="24"/>
              </w:rPr>
              <w:t xml:space="preserve">Поливанов </w:t>
            </w:r>
          </w:p>
          <w:p w14:paraId="41000000">
            <w:pPr>
              <w:widowControl w:val="1"/>
              <w:ind/>
              <w:jc w:val="center"/>
              <w:rPr>
                <w:sz w:val="24"/>
              </w:rPr>
            </w:pPr>
            <w:r>
              <w:rPr>
                <w:sz w:val="24"/>
              </w:rPr>
              <w:t xml:space="preserve">Михаил </w:t>
            </w:r>
          </w:p>
          <w:p w14:paraId="42000000">
            <w:pPr>
              <w:widowControl w:val="1"/>
              <w:ind/>
              <w:jc w:val="center"/>
              <w:rPr>
                <w:sz w:val="24"/>
              </w:rPr>
            </w:pPr>
            <w:r>
              <w:rPr>
                <w:sz w:val="24"/>
              </w:rPr>
              <w:t>Александрович</w:t>
            </w:r>
          </w:p>
        </w:tc>
        <w:tc>
          <w:tcPr>
            <w:tcW w:type="dxa" w:w="4677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  <w:vAlign w:val="center"/>
          </w:tcPr>
          <w:p w14:paraId="43000000">
            <w:pPr>
              <w:widowControl w:val="1"/>
              <w:ind/>
              <w:jc w:val="center"/>
              <w:rPr>
                <w:sz w:val="24"/>
              </w:rPr>
            </w:pPr>
            <w:r>
              <w:rPr>
                <w:sz w:val="24"/>
              </w:rPr>
              <w:t>О проведении опытной эксплуатации автотранспортных средств «</w:t>
            </w:r>
            <w:r>
              <w:rPr>
                <w:sz w:val="24"/>
              </w:rPr>
              <w:t>PICAR</w:t>
            </w:r>
            <w:r>
              <w:rPr>
                <w:sz w:val="24"/>
              </w:rPr>
              <w:t xml:space="preserve">» для доставки к месту аварии горноспасателей, оборудования и оснащения по горным выработкам ОПО </w:t>
            </w:r>
          </w:p>
        </w:tc>
        <w:tc>
          <w:tcPr>
            <w:tcW w:type="dxa" w:w="1021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  <w:vAlign w:val="center"/>
          </w:tcPr>
          <w:p w14:paraId="44000000">
            <w:pPr>
              <w:widowControl w:val="1"/>
              <w:ind/>
              <w:jc w:val="center"/>
              <w:rPr>
                <w:sz w:val="24"/>
              </w:rPr>
            </w:pPr>
            <w:r>
              <w:rPr>
                <w:sz w:val="24"/>
              </w:rPr>
              <w:t>5-10 минут</w:t>
            </w:r>
          </w:p>
        </w:tc>
        <w:tc>
          <w:tcPr>
            <w:tcW w:type="dxa" w:w="1184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  <w:vAlign w:val="center"/>
          </w:tcPr>
          <w:p w14:paraId="45000000">
            <w:pPr>
              <w:widowControl w:val="1"/>
              <w:ind/>
              <w:jc w:val="center"/>
              <w:rPr>
                <w:sz w:val="24"/>
              </w:rPr>
            </w:pPr>
            <w:r>
              <w:rPr>
                <w:sz w:val="24"/>
              </w:rPr>
              <w:t>Очно</w:t>
            </w:r>
          </w:p>
        </w:tc>
      </w:tr>
      <w:tr>
        <w:tc>
          <w:tcPr>
            <w:tcW w:type="dxa" w:w="662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  <w:vAlign w:val="center"/>
          </w:tcPr>
          <w:p w14:paraId="46000000">
            <w:pPr>
              <w:widowControl w:val="1"/>
              <w:ind/>
              <w:jc w:val="center"/>
              <w:rPr>
                <w:sz w:val="24"/>
              </w:rPr>
            </w:pPr>
            <w:r>
              <w:rPr>
                <w:sz w:val="24"/>
              </w:rPr>
              <w:t>6</w:t>
            </w:r>
          </w:p>
        </w:tc>
        <w:tc>
          <w:tcPr>
            <w:tcW w:type="dxa" w:w="2990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  <w:vAlign w:val="center"/>
          </w:tcPr>
          <w:p w14:paraId="47000000">
            <w:pPr>
              <w:widowControl w:val="1"/>
              <w:ind/>
              <w:jc w:val="center"/>
              <w:rPr>
                <w:sz w:val="24"/>
              </w:rPr>
            </w:pPr>
            <w:r>
              <w:rPr>
                <w:sz w:val="24"/>
              </w:rPr>
              <w:t>Филиал «Копейский ВГСО» ФГУП «ВГСЧ»</w:t>
            </w:r>
          </w:p>
        </w:tc>
        <w:tc>
          <w:tcPr>
            <w:tcW w:type="dxa" w:w="2268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  <w:vAlign w:val="center"/>
          </w:tcPr>
          <w:p w14:paraId="48000000">
            <w:pPr>
              <w:widowControl w:val="1"/>
              <w:ind/>
              <w:jc w:val="center"/>
              <w:rPr>
                <w:sz w:val="24"/>
              </w:rPr>
            </w:pPr>
            <w:r>
              <w:rPr>
                <w:sz w:val="24"/>
              </w:rPr>
              <w:t>Заместитель командира отряда</w:t>
            </w:r>
          </w:p>
        </w:tc>
        <w:tc>
          <w:tcPr>
            <w:tcW w:type="dxa" w:w="1985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  <w:vAlign w:val="center"/>
          </w:tcPr>
          <w:p w14:paraId="49000000">
            <w:pPr>
              <w:widowControl w:val="1"/>
              <w:ind/>
              <w:jc w:val="center"/>
              <w:rPr>
                <w:sz w:val="24"/>
              </w:rPr>
            </w:pPr>
            <w:r>
              <w:rPr>
                <w:sz w:val="24"/>
              </w:rPr>
              <w:t>Любимов</w:t>
            </w:r>
          </w:p>
          <w:p w14:paraId="4A000000">
            <w:pPr>
              <w:widowControl w:val="1"/>
              <w:ind/>
              <w:jc w:val="center"/>
              <w:rPr>
                <w:sz w:val="24"/>
              </w:rPr>
            </w:pPr>
            <w:r>
              <w:rPr>
                <w:sz w:val="24"/>
              </w:rPr>
              <w:t>Олег</w:t>
            </w:r>
          </w:p>
          <w:p w14:paraId="4B000000">
            <w:pPr>
              <w:widowControl w:val="1"/>
              <w:ind/>
              <w:jc w:val="center"/>
              <w:rPr>
                <w:sz w:val="24"/>
              </w:rPr>
            </w:pPr>
            <w:r>
              <w:rPr>
                <w:sz w:val="24"/>
              </w:rPr>
              <w:t>Викторович</w:t>
            </w:r>
          </w:p>
        </w:tc>
        <w:tc>
          <w:tcPr>
            <w:tcW w:type="dxa" w:w="4677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  <w:vAlign w:val="center"/>
          </w:tcPr>
          <w:p w14:paraId="4C000000">
            <w:pPr>
              <w:widowControl w:val="1"/>
              <w:ind/>
              <w:jc w:val="center"/>
              <w:rPr>
                <w:sz w:val="24"/>
              </w:rPr>
            </w:pPr>
            <w:r>
              <w:rPr>
                <w:sz w:val="24"/>
              </w:rPr>
              <w:t>Актуальность использования беспроводной связи в подземных горных выработках при ликвидации аварий</w:t>
            </w:r>
          </w:p>
        </w:tc>
        <w:tc>
          <w:tcPr>
            <w:tcW w:type="dxa" w:w="1021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  <w:vAlign w:val="center"/>
          </w:tcPr>
          <w:p w14:paraId="4D000000">
            <w:pPr>
              <w:widowControl w:val="1"/>
              <w:ind/>
              <w:jc w:val="center"/>
              <w:rPr>
                <w:sz w:val="24"/>
              </w:rPr>
            </w:pPr>
            <w:r>
              <w:rPr>
                <w:sz w:val="24"/>
              </w:rPr>
              <w:t>5-10 минут</w:t>
            </w:r>
          </w:p>
        </w:tc>
        <w:tc>
          <w:tcPr>
            <w:tcW w:type="dxa" w:w="1184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  <w:vAlign w:val="center"/>
          </w:tcPr>
          <w:p w14:paraId="4E000000">
            <w:pPr>
              <w:widowControl w:val="1"/>
              <w:ind/>
              <w:jc w:val="center"/>
              <w:rPr>
                <w:sz w:val="24"/>
              </w:rPr>
            </w:pPr>
            <w:r>
              <w:rPr>
                <w:sz w:val="24"/>
              </w:rPr>
              <w:t>Дистан-ционно</w:t>
            </w:r>
          </w:p>
        </w:tc>
      </w:tr>
      <w:tr>
        <w:tc>
          <w:tcPr>
            <w:tcW w:type="dxa" w:w="662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  <w:vAlign w:val="center"/>
          </w:tcPr>
          <w:p w14:paraId="4F000000">
            <w:pPr>
              <w:widowControl w:val="1"/>
              <w:ind/>
              <w:jc w:val="center"/>
              <w:rPr>
                <w:sz w:val="24"/>
              </w:rPr>
            </w:pPr>
            <w:r>
              <w:rPr>
                <w:sz w:val="24"/>
              </w:rPr>
              <w:t>7</w:t>
            </w:r>
          </w:p>
        </w:tc>
        <w:tc>
          <w:tcPr>
            <w:tcW w:type="dxa" w:w="2990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  <w:vAlign w:val="center"/>
          </w:tcPr>
          <w:p w14:paraId="50000000">
            <w:pPr>
              <w:widowControl w:val="1"/>
              <w:ind/>
              <w:jc w:val="center"/>
              <w:rPr>
                <w:sz w:val="24"/>
              </w:rPr>
            </w:pPr>
            <w:r>
              <w:rPr>
                <w:sz w:val="24"/>
              </w:rPr>
              <w:t>Филиал «Кемеровский ВГСО» ФГУП «ВГСЧ»</w:t>
            </w:r>
          </w:p>
        </w:tc>
        <w:tc>
          <w:tcPr>
            <w:tcW w:type="dxa" w:w="2268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  <w:vAlign w:val="center"/>
          </w:tcPr>
          <w:p w14:paraId="51000000">
            <w:pPr>
              <w:widowControl w:val="1"/>
              <w:ind/>
              <w:jc w:val="center"/>
              <w:rPr>
                <w:sz w:val="24"/>
              </w:rPr>
            </w:pPr>
            <w:r>
              <w:rPr>
                <w:sz w:val="24"/>
              </w:rPr>
              <w:t xml:space="preserve">Помощник командира отряда </w:t>
            </w:r>
          </w:p>
        </w:tc>
        <w:tc>
          <w:tcPr>
            <w:tcW w:type="dxa" w:w="1985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  <w:vAlign w:val="center"/>
          </w:tcPr>
          <w:p w14:paraId="52000000">
            <w:pPr>
              <w:widowControl w:val="1"/>
              <w:ind/>
              <w:jc w:val="center"/>
              <w:rPr>
                <w:sz w:val="24"/>
              </w:rPr>
            </w:pPr>
            <w:r>
              <w:rPr>
                <w:sz w:val="24"/>
              </w:rPr>
              <w:t>Егоров</w:t>
            </w:r>
          </w:p>
          <w:p w14:paraId="53000000">
            <w:pPr>
              <w:widowControl w:val="1"/>
              <w:ind/>
              <w:jc w:val="center"/>
              <w:rPr>
                <w:sz w:val="24"/>
              </w:rPr>
            </w:pPr>
            <w:r>
              <w:rPr>
                <w:sz w:val="24"/>
              </w:rPr>
              <w:t>Сергей Анатольевич</w:t>
            </w:r>
          </w:p>
        </w:tc>
        <w:tc>
          <w:tcPr>
            <w:tcW w:type="dxa" w:w="4677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  <w:vAlign w:val="center"/>
          </w:tcPr>
          <w:p w14:paraId="54000000">
            <w:pPr>
              <w:widowControl w:val="1"/>
              <w:ind/>
              <w:jc w:val="center"/>
              <w:rPr>
                <w:sz w:val="24"/>
              </w:rPr>
            </w:pPr>
            <w:r>
              <w:rPr>
                <w:sz w:val="24"/>
              </w:rPr>
              <w:t>Использование современной высокоточной мобильной системы 3D сканирования в ходе проведения горноспасательных работ при аварии «Горный удар» с последующим обрушением подземных горных выработок</w:t>
            </w:r>
          </w:p>
        </w:tc>
        <w:tc>
          <w:tcPr>
            <w:tcW w:type="dxa" w:w="1021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  <w:vAlign w:val="center"/>
          </w:tcPr>
          <w:p w14:paraId="55000000">
            <w:pPr>
              <w:widowControl w:val="1"/>
              <w:ind/>
              <w:jc w:val="center"/>
              <w:rPr>
                <w:sz w:val="24"/>
              </w:rPr>
            </w:pPr>
            <w:r>
              <w:rPr>
                <w:sz w:val="24"/>
              </w:rPr>
              <w:t>5-10 минут</w:t>
            </w:r>
          </w:p>
        </w:tc>
        <w:tc>
          <w:tcPr>
            <w:tcW w:type="dxa" w:w="1184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  <w:vAlign w:val="center"/>
          </w:tcPr>
          <w:p w14:paraId="56000000">
            <w:pPr>
              <w:widowControl w:val="1"/>
              <w:ind/>
              <w:jc w:val="center"/>
              <w:rPr>
                <w:sz w:val="24"/>
              </w:rPr>
            </w:pPr>
            <w:r>
              <w:rPr>
                <w:sz w:val="24"/>
              </w:rPr>
              <w:t>Дистан-ционно</w:t>
            </w:r>
          </w:p>
        </w:tc>
      </w:tr>
      <w:tr>
        <w:tc>
          <w:tcPr>
            <w:tcW w:type="dxa" w:w="662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  <w:vAlign w:val="center"/>
          </w:tcPr>
          <w:p w14:paraId="57000000">
            <w:pPr>
              <w:widowControl w:val="1"/>
              <w:ind/>
              <w:jc w:val="center"/>
              <w:rPr>
                <w:sz w:val="24"/>
              </w:rPr>
            </w:pPr>
            <w:r>
              <w:rPr>
                <w:sz w:val="24"/>
              </w:rPr>
              <w:t>8</w:t>
            </w:r>
          </w:p>
        </w:tc>
        <w:tc>
          <w:tcPr>
            <w:tcW w:type="dxa" w:w="2990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  <w:vAlign w:val="center"/>
          </w:tcPr>
          <w:p w14:paraId="58000000">
            <w:pPr>
              <w:widowControl w:val="1"/>
              <w:ind/>
              <w:jc w:val="center"/>
              <w:rPr>
                <w:sz w:val="24"/>
              </w:rPr>
            </w:pPr>
            <w:r>
              <w:rPr>
                <w:sz w:val="24"/>
              </w:rPr>
              <w:t xml:space="preserve">ГИ </w:t>
            </w:r>
            <w:r>
              <w:rPr>
                <w:color w:val="000000"/>
                <w:sz w:val="24"/>
              </w:rPr>
              <w:t xml:space="preserve">«УрО </w:t>
            </w:r>
            <w:r>
              <w:rPr>
                <w:sz w:val="24"/>
              </w:rPr>
              <w:t>РАН»</w:t>
            </w:r>
          </w:p>
        </w:tc>
        <w:tc>
          <w:tcPr>
            <w:tcW w:type="dxa" w:w="2268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  <w:vAlign w:val="center"/>
          </w:tcPr>
          <w:p w14:paraId="59000000">
            <w:pPr>
              <w:widowControl w:val="1"/>
              <w:ind/>
              <w:jc w:val="center"/>
              <w:rPr>
                <w:sz w:val="24"/>
              </w:rPr>
            </w:pPr>
            <w:r>
              <w:rPr>
                <w:sz w:val="24"/>
              </w:rPr>
              <w:t>Заведующий лабораторией цифровизации</w:t>
            </w:r>
          </w:p>
        </w:tc>
        <w:tc>
          <w:tcPr>
            <w:tcW w:type="dxa" w:w="1985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  <w:vAlign w:val="center"/>
          </w:tcPr>
          <w:p w14:paraId="5A000000">
            <w:pPr>
              <w:widowControl w:val="1"/>
              <w:ind/>
              <w:jc w:val="center"/>
              <w:rPr>
                <w:sz w:val="24"/>
              </w:rPr>
            </w:pPr>
            <w:r>
              <w:rPr>
                <w:sz w:val="24"/>
              </w:rPr>
              <w:t xml:space="preserve">Кормщиков Денис </w:t>
            </w:r>
          </w:p>
          <w:p w14:paraId="5B000000">
            <w:pPr>
              <w:widowControl w:val="1"/>
              <w:ind/>
              <w:jc w:val="center"/>
              <w:rPr>
                <w:sz w:val="24"/>
              </w:rPr>
            </w:pPr>
            <w:r>
              <w:rPr>
                <w:sz w:val="24"/>
              </w:rPr>
              <w:t>Сергеевич</w:t>
            </w:r>
          </w:p>
        </w:tc>
        <w:tc>
          <w:tcPr>
            <w:tcW w:type="dxa" w:w="4677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  <w:vAlign w:val="center"/>
          </w:tcPr>
          <w:p w14:paraId="5C000000">
            <w:pPr>
              <w:widowControl w:val="1"/>
              <w:ind/>
              <w:jc w:val="center"/>
              <w:rPr>
                <w:sz w:val="24"/>
              </w:rPr>
            </w:pPr>
            <w:r>
              <w:rPr>
                <w:sz w:val="24"/>
              </w:rPr>
              <w:t>Программа для контроля выполнения мероприятий по локализации аварии и вывода вспомогательной информации на видеостену в командном пункте</w:t>
            </w:r>
          </w:p>
        </w:tc>
        <w:tc>
          <w:tcPr>
            <w:tcW w:type="dxa" w:w="1021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  <w:vAlign w:val="center"/>
          </w:tcPr>
          <w:p w14:paraId="5D000000">
            <w:pPr>
              <w:widowControl w:val="1"/>
              <w:ind/>
              <w:jc w:val="center"/>
              <w:rPr>
                <w:sz w:val="24"/>
              </w:rPr>
            </w:pPr>
            <w:r>
              <w:rPr>
                <w:sz w:val="24"/>
              </w:rPr>
              <w:t>5-10 минут</w:t>
            </w:r>
          </w:p>
        </w:tc>
        <w:tc>
          <w:tcPr>
            <w:tcW w:type="dxa" w:w="1184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  <w:vAlign w:val="center"/>
          </w:tcPr>
          <w:p w14:paraId="5E000000">
            <w:pPr>
              <w:widowControl w:val="1"/>
              <w:ind/>
              <w:jc w:val="center"/>
              <w:rPr>
                <w:sz w:val="24"/>
              </w:rPr>
            </w:pPr>
            <w:r>
              <w:rPr>
                <w:sz w:val="24"/>
              </w:rPr>
              <w:t>Очно</w:t>
            </w:r>
          </w:p>
        </w:tc>
      </w:tr>
      <w:tr>
        <w:tc>
          <w:tcPr>
            <w:tcW w:type="dxa" w:w="662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  <w:vAlign w:val="center"/>
          </w:tcPr>
          <w:p w14:paraId="5F000000">
            <w:pPr>
              <w:widowControl w:val="1"/>
              <w:ind/>
              <w:jc w:val="center"/>
              <w:rPr>
                <w:sz w:val="24"/>
              </w:rPr>
            </w:pPr>
            <w:r>
              <w:rPr>
                <w:sz w:val="24"/>
              </w:rPr>
              <w:t>9</w:t>
            </w:r>
          </w:p>
        </w:tc>
        <w:tc>
          <w:tcPr>
            <w:tcW w:type="dxa" w:w="2990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  <w:vAlign w:val="center"/>
          </w:tcPr>
          <w:p w14:paraId="60000000">
            <w:pPr>
              <w:widowControl w:val="1"/>
              <w:ind/>
              <w:jc w:val="center"/>
              <w:rPr>
                <w:sz w:val="24"/>
              </w:rPr>
            </w:pPr>
            <w:r>
              <w:rPr>
                <w:sz w:val="24"/>
              </w:rPr>
              <w:t>ФГУП «ВГСЧ»</w:t>
            </w:r>
          </w:p>
        </w:tc>
        <w:tc>
          <w:tcPr>
            <w:tcW w:type="dxa" w:w="2268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  <w:vAlign w:val="center"/>
          </w:tcPr>
          <w:p w14:paraId="61000000">
            <w:pPr>
              <w:widowControl w:val="1"/>
              <w:ind/>
              <w:jc w:val="center"/>
              <w:rPr>
                <w:sz w:val="24"/>
              </w:rPr>
            </w:pPr>
            <w:r>
              <w:rPr>
                <w:sz w:val="24"/>
              </w:rPr>
              <w:t>Главный специалист по охране труда</w:t>
            </w:r>
          </w:p>
        </w:tc>
        <w:tc>
          <w:tcPr>
            <w:tcW w:type="dxa" w:w="1985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  <w:vAlign w:val="center"/>
          </w:tcPr>
          <w:p w14:paraId="62000000">
            <w:pPr>
              <w:widowControl w:val="1"/>
              <w:ind/>
              <w:jc w:val="center"/>
              <w:rPr>
                <w:sz w:val="24"/>
              </w:rPr>
            </w:pPr>
            <w:r>
              <w:rPr>
                <w:sz w:val="24"/>
              </w:rPr>
              <w:t xml:space="preserve">Мансурова </w:t>
            </w:r>
          </w:p>
          <w:p w14:paraId="63000000">
            <w:pPr>
              <w:widowControl w:val="1"/>
              <w:ind/>
              <w:jc w:val="center"/>
              <w:rPr>
                <w:sz w:val="24"/>
              </w:rPr>
            </w:pPr>
            <w:r>
              <w:rPr>
                <w:sz w:val="24"/>
              </w:rPr>
              <w:t xml:space="preserve">Анна </w:t>
            </w:r>
          </w:p>
          <w:p w14:paraId="64000000">
            <w:pPr>
              <w:widowControl w:val="1"/>
              <w:ind/>
              <w:jc w:val="center"/>
              <w:rPr>
                <w:sz w:val="24"/>
              </w:rPr>
            </w:pPr>
            <w:r>
              <w:rPr>
                <w:sz w:val="24"/>
              </w:rPr>
              <w:t>Васильевна</w:t>
            </w:r>
          </w:p>
        </w:tc>
        <w:tc>
          <w:tcPr>
            <w:tcW w:type="dxa" w:w="4677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  <w:vAlign w:val="center"/>
          </w:tcPr>
          <w:p w14:paraId="65000000">
            <w:pPr>
              <w:widowControl w:val="1"/>
              <w:ind/>
              <w:jc w:val="center"/>
              <w:rPr>
                <w:sz w:val="24"/>
              </w:rPr>
            </w:pPr>
            <w:r>
              <w:rPr>
                <w:sz w:val="24"/>
              </w:rPr>
              <w:t>Требования охраны труда при ведении аварийно-спасательных работ на поверхности в условиях низких температур</w:t>
            </w:r>
          </w:p>
        </w:tc>
        <w:tc>
          <w:tcPr>
            <w:tcW w:type="dxa" w:w="1021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  <w:vAlign w:val="center"/>
          </w:tcPr>
          <w:p w14:paraId="66000000">
            <w:pPr>
              <w:widowControl w:val="1"/>
              <w:ind/>
              <w:jc w:val="center"/>
              <w:rPr>
                <w:sz w:val="24"/>
              </w:rPr>
            </w:pPr>
            <w:r>
              <w:rPr>
                <w:sz w:val="24"/>
              </w:rPr>
              <w:t>5-10 минут</w:t>
            </w:r>
          </w:p>
        </w:tc>
        <w:tc>
          <w:tcPr>
            <w:tcW w:type="dxa" w:w="1184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  <w:vAlign w:val="center"/>
          </w:tcPr>
          <w:p w14:paraId="67000000">
            <w:pPr>
              <w:widowControl w:val="1"/>
              <w:ind/>
              <w:jc w:val="center"/>
              <w:rPr>
                <w:sz w:val="24"/>
              </w:rPr>
            </w:pPr>
            <w:r>
              <w:rPr>
                <w:sz w:val="24"/>
              </w:rPr>
              <w:t>Дистан-ционно</w:t>
            </w:r>
          </w:p>
        </w:tc>
      </w:tr>
    </w:tbl>
    <w:p w14:paraId="68000000">
      <w:pPr>
        <w:widowControl w:val="1"/>
        <w:spacing w:line="276" w:lineRule="auto"/>
        <w:ind/>
        <w:rPr>
          <w:sz w:val="2"/>
        </w:rPr>
      </w:pPr>
    </w:p>
    <w:sectPr>
      <w:headerReference r:id="rId2" w:type="default"/>
      <w:headerReference r:id="rId1" w:type="even"/>
      <w:footerReference r:id="rId3" w:type="default"/>
      <w:pgSz w:h="11907" w:orient="landscape" w:w="16839"/>
      <w:pgMar w:bottom="567" w:footer="720" w:gutter="0" w:header="720" w:left="1134" w:right="1134" w:top="1701"/>
      <w:pgNumType w:start="1"/>
      <w:titlePg/>
    </w:sectPr>
  </w:body>
</w:document>
</file>

<file path=word/fontTable.xml><?xml version="1.0" encoding="utf-8"?>
<w:fonts xmlns:w="http://schemas.openxmlformats.org/wordprocessingml/2006/main">
  <w:font w:name="Cambria">
    <w:panose1 w:val="02040503050406030204"/>
    <w:charset w:val="00"/>
    <w:family w:val="auto"/>
    <w:pitch w:val="variable"/>
    <w:sig w:csb0="0000019F" w:csb1="00000000" w:usb0="E00002FF" w:usb1="400004FF" w:usb2="00000000" w:usb3="00000000"/>
  </w:font>
  <w:font w:name="ＭＳ 明朝">
    <w:panose1 w:val="00000000000000000000"/>
    <w:charset w:val="80"/>
    <w:family w:val="roman"/>
    <w:notTrueType/>
    <w:pitch w:val="fixed"/>
    <w:sig w:csb0="00020000" w:csb1="00000000" w:usb0="00000001" w:usb1="08070000" w:usb2="00000010" w:usb3="00000000"/>
  </w:font>
  <w:font w:name="Times New Roman">
    <w:panose1 w:val="02020603050405020304"/>
    <w:charset w:val="00"/>
    <w:family w:val="auto"/>
    <w:pitch w:val="variable"/>
    <w:sig w:csb0="00000001" w:csb1="00000000" w:usb0="00000003" w:usb1="00000000" w:usb2="00000000" w:usb3="00000000"/>
  </w:font>
  <w:font w:name="Calibri">
    <w:panose1 w:val="020F0502020204030204"/>
    <w:charset w:val="00"/>
    <w:family w:val="auto"/>
    <w:pitch w:val="variable"/>
    <w:sig w:csb0="0000019F" w:csb1="00000000" w:usb0="E10002FF" w:usb1="4000ACFF" w:usb2="00000009" w:usb3="00000000"/>
  </w:font>
  <w:font w:name="ＭＳ ゴシック">
    <w:panose1 w:val="00000000000000000000"/>
    <w:charset w:val="80"/>
    <w:family w:val="modern"/>
    <w:notTrueType/>
    <w:pitch w:val="fixed"/>
    <w:sig w:csb0="00020000" w:csb1="00000000" w:usb0="00000001" w:usb1="08070000" w:usb2="00000010" w:usb3="00000000"/>
  </w:font>
  <w:font w:name="Consolas">
    <w:panose1 w:val="020B0609020204030204"/>
    <w:charset w:val="00"/>
    <w:family w:val="auto"/>
    <w:pitch w:val="variable"/>
    <w:sig w:csb0="0000019F" w:csb1="00000000" w:usb0="E10002FF" w:usb1="4000FCFF" w:usb2="00000009" w:usb3="00000000"/>
  </w:font>
  <w:font w:name="Arial">
    <w:panose1 w:val="020B0604020202020204"/>
    <w:charset w:val="00"/>
    <w:family w:val="auto"/>
    <w:pitch w:val="variable"/>
    <w:sig w:csb0="00000001" w:csb1="00000000" w:usb0="00000003" w:usb1="00000000" w:usb2="00000000" w:usb3="00000000"/>
  </w:font>
</w:fonts>
</file>

<file path=word/footer3.xml><?xml version="1.0" encoding="utf-8"?>
<w:ftr xmlns:a="http://schemas.openxmlformats.org/drawingml/2006/main" xmlns:a15="http://schemas.microsoft.com/office/drawing/2012/main" xmlns:asvg="http://schemas.microsoft.com/office/drawing/2016/SVG/main" xmlns:c="http://schemas.openxmlformats.org/drawingml/2006/chart" xmlns:co="http://ncloudtech.com" xmlns:co-ooxml="http://ncloudtech.com/ooxml" xmlns:m="http://schemas.openxmlformats.org/officeDocument/2006/math" xmlns:mc="http://schemas.openxmlformats.org/markup-compatibility/2006" xmlns:o="urn:schemas-microsoft-com:office:office" xmlns:p="http://schemas.openxmlformats.org/presentationml/2006/main" xmlns:pic="http://schemas.openxmlformats.org/drawingml/2006/picture" xmlns:r="http://schemas.openxmlformats.org/officeDocument/2006/relationships" xmlns:s="http://schemas.openxmlformats.org/officeDocument/2006/sharedTypes" xmlns:sl="http://schemas.openxmlformats.org/schemaLibrary/2006/main" xmlns:v="urn:schemas-microsoft-com:vml" xmlns:w="http://schemas.openxmlformats.org/wordprocessingml/2006/main" xmlns:w10="urn:schemas-microsoft-com:office:word" xmlns:w14="http://schemas.microsoft.com/office/word/2010/wordml" xmlns:w15="http://schemas.microsoft.com/office/word/2012/wordml" xmlns:wp="http://schemas.openxmlformats.org/drawingml/2006/wordprocessingDrawing" xmlns:wpg="http://schemas.microsoft.com/office/word/2010/wordprocessingGroup" xmlns:wps="http://schemas.microsoft.com/office/word/2010/wordprocessingShape" xmlns:x="urn:schemas-microsoft-com:office:excel" xmlns:x12ac="http://schemas.microsoft.com/office/spreadsheetml/2011/1/ac" xmlns:x14="http://schemas.microsoft.com/office/spreadsheetml/2009/9/main" xmlns:xdr="http://schemas.openxmlformats.org/drawingml/2006/spreadsheetDrawing" xmlns:xm="http://schemas.microsoft.com/office/excel/2006/main" mc:Ignorable="co co-ooxml w14 x14 w15">
  <w:p w14:paraId="05000000">
    <w:pPr>
      <w:pStyle w:val="Style_3"/>
      <w:widowControl w:val="1"/>
      <w:ind/>
      <w:jc w:val="right"/>
    </w:pPr>
  </w:p>
  <w:p w14:paraId="06000000">
    <w:pPr>
      <w:pStyle w:val="Style_3"/>
    </w:pPr>
  </w:p>
</w:ftr>
</file>

<file path=word/header1.xml><?xml version="1.0" encoding="utf-8"?>
<w:hdr xmlns:a="http://schemas.openxmlformats.org/drawingml/2006/main" xmlns:a15="http://schemas.microsoft.com/office/drawing/2012/main" xmlns:asvg="http://schemas.microsoft.com/office/drawing/2016/SVG/main" xmlns:c="http://schemas.openxmlformats.org/drawingml/2006/chart" xmlns:co="http://ncloudtech.com" xmlns:co-ooxml="http://ncloudtech.com/ooxml" xmlns:m="http://schemas.openxmlformats.org/officeDocument/2006/math" xmlns:mc="http://schemas.openxmlformats.org/markup-compatibility/2006" xmlns:o="urn:schemas-microsoft-com:office:office" xmlns:p="http://schemas.openxmlformats.org/presentationml/2006/main" xmlns:pic="http://schemas.openxmlformats.org/drawingml/2006/picture" xmlns:r="http://schemas.openxmlformats.org/officeDocument/2006/relationships" xmlns:s="http://schemas.openxmlformats.org/officeDocument/2006/sharedTypes" xmlns:sl="http://schemas.openxmlformats.org/schemaLibrary/2006/main" xmlns:v="urn:schemas-microsoft-com:vml" xmlns:w="http://schemas.openxmlformats.org/wordprocessingml/2006/main" xmlns:w10="urn:schemas-microsoft-com:office:word" xmlns:w14="http://schemas.microsoft.com/office/word/2010/wordml" xmlns:w15="http://schemas.microsoft.com/office/word/2012/wordml" xmlns:wp="http://schemas.openxmlformats.org/drawingml/2006/wordprocessingDrawing" xmlns:wpg="http://schemas.microsoft.com/office/word/2010/wordprocessingGroup" xmlns:wps="http://schemas.microsoft.com/office/word/2010/wordprocessingShape" xmlns:x="urn:schemas-microsoft-com:office:excel" xmlns:x12ac="http://schemas.microsoft.com/office/spreadsheetml/2011/1/ac" xmlns:x14="http://schemas.microsoft.com/office/spreadsheetml/2009/9/main" xmlns:xdr="http://schemas.openxmlformats.org/drawingml/2006/spreadsheetDrawing" xmlns:xm="http://schemas.microsoft.com/office/excel/2006/main" mc:Ignorable="co co-ooxml w14 x14 w15">
  <w:p w14:paraId="01000000">
    <w:pPr>
      <w:pStyle w:val="Style_1"/>
    </w:pPr>
    <w:r>
      <mc:AlternateContent>
        <mc:Choice Requires="wps">
          <w:drawing xmlns:a="http://schemas.openxmlformats.org/drawingml/2006/main" xmlns:a15="http://schemas.microsoft.com/office/drawing/2012/main" xmlns:asvg="http://schemas.microsoft.com/office/drawing/2016/SVG/main" xmlns:c="http://schemas.openxmlformats.org/drawingml/2006/chart" xmlns:co="http://ncloudtech.com" xmlns:co-ooxml="http://ncloudtech.com/ooxml" xmlns:m="http://schemas.openxmlformats.org/officeDocument/2006/math" xmlns:mc="http://schemas.openxmlformats.org/markup-compatibility/2006" xmlns:o="urn:schemas-microsoft-com:office:office" xmlns:p="http://schemas.openxmlformats.org/presentationml/2006/main" xmlns:pic="http://schemas.openxmlformats.org/drawingml/2006/picture" xmlns:r="http://schemas.openxmlformats.org/officeDocument/2006/relationships" xmlns:s="http://schemas.openxmlformats.org/officeDocument/2006/sharedTypes" xmlns:sl="http://schemas.openxmlformats.org/schemaLibrary/2006/main" xmlns:v="urn:schemas-microsoft-com:vml" xmlns:w="http://schemas.openxmlformats.org/wordprocessingml/2006/main" xmlns:w10="urn:schemas-microsoft-com:office:word" xmlns:w14="http://schemas.microsoft.com/office/word/2010/wordml" xmlns:w15="http://schemas.microsoft.com/office/word/2012/wordml" xmlns:wp="http://schemas.openxmlformats.org/drawingml/2006/wordprocessingDrawing" xmlns:wpg="http://schemas.microsoft.com/office/word/2010/wordprocessingGroup" xmlns:wps="http://schemas.microsoft.com/office/word/2010/wordprocessingShape" xmlns:x="urn:schemas-microsoft-com:office:excel" xmlns:x12ac="http://schemas.microsoft.com/office/spreadsheetml/2011/1/ac" xmlns:x14="http://schemas.microsoft.com/office/spreadsheetml/2009/9/main" xmlns:xdr="http://schemas.openxmlformats.org/drawingml/2006/spreadsheetDrawing" xmlns:xm="http://schemas.microsoft.com/office/excel/2006/main">
            <wp:anchor allowOverlap="true" behindDoc="false" distB="0" distL="0" distR="0" distT="0" layoutInCell="true" locked="false" relativeHeight="251658240" simplePos="false">
              <wp:simplePos x="0" y="0"/>
              <wp:positionH relativeFrom="margin">
                <wp:align>center</wp:align>
              </wp:positionH>
              <wp:positionV relativeFrom="paragraph">
                <wp:posOffset>635</wp:posOffset>
              </wp:positionV>
              <wp:extent cx="152400" cy="0"/>
              <wp:wrapSquare distB="0" distL="0" distR="0" distT="0" wrapText="bothSides"/>
              <wp:docPr hidden="false" id="1" name="Picture 1"/>
              <a:graphic>
                <a:graphicData uri="http://schemas.microsoft.com/office/word/2010/wordprocessingShape">
                  <wps:wsp>
                    <wps:cNvSpPr txBox="true"/>
                    <wps:spPr>
                      <a:xfrm flipH="false" flipV="false" rot="0">
                        <a:off x="0" y="0"/>
                        <a:ext cx="152400" cy="0"/>
                      </a:xfrm>
                      <a:prstGeom prst="rect">
                        <a:avLst/>
                      </a:prstGeom>
                    </wps:spPr>
                    <wps:txbx>
                      <w:txbxContent>
                        <w:p w14:paraId="02000000">
                          <w:pPr>
                            <w:pStyle w:val="Style_1"/>
                            <w:rPr>
                              <w:rStyle w:val="Style_2_ch"/>
                            </w:rPr>
                          </w:pPr>
                          <w:r>
                            <w:rPr>
                              <w:rStyle w:val="Style_2_ch"/>
                            </w:rPr>
                            <w:fldChar w:fldCharType="begin"/>
                          </w:r>
                          <w:r>
                            <w:rPr>
                              <w:rStyle w:val="Style_2_ch"/>
                            </w:rPr>
                            <w:instrText xml:space="preserve">PAGE </w:instrText>
                          </w:r>
                          <w:r>
                            <w:rPr>
                              <w:rStyle w:val="Style_2_ch"/>
                            </w:rPr>
                            <w:fldChar w:fldCharType="separate"/>
                          </w:r>
                          <w:r>
                            <w:rPr>
                              <w:rStyle w:val="Style_2_ch"/>
                            </w:rPr>
                            <w:t xml:space="preserve"> </w:t>
                          </w:r>
                          <w:r>
                            <w:rPr>
                              <w:rStyle w:val="Style_2_ch"/>
                            </w:rPr>
                            <w:fldChar w:fldCharType="end"/>
                          </w:r>
                        </w:p>
                      </w:txbxContent>
                    </wps:txbx>
                    <wps:bodyPr anchor="t" bIns="0" lIns="0" rIns="0" tIns="0" vert="horz" wrap="square">
                      <a:spAutoFit/>
                    </wps:bodyPr>
                  </wps:wsp>
                </a:graphicData>
              </a:graphic>
            </wp:anchor>
          </w:drawing>
        </mc:Choice>
        <mc:Fallback>
          <w:pict xmlns:a="http://schemas.openxmlformats.org/drawingml/2006/main" xmlns:a15="http://schemas.microsoft.com/office/drawing/2012/main" xmlns:asvg="http://schemas.microsoft.com/office/drawing/2016/SVG/main" xmlns:c="http://schemas.openxmlformats.org/drawingml/2006/chart" xmlns:co="http://ncloudtech.com" xmlns:co-ooxml="http://ncloudtech.com/ooxml" xmlns:m="http://schemas.openxmlformats.org/officeDocument/2006/math" xmlns:mc="http://schemas.openxmlformats.org/markup-compatibility/2006" xmlns:o="urn:schemas-microsoft-com:office:office" xmlns:p="http://schemas.openxmlformats.org/presentationml/2006/main" xmlns:pic="http://schemas.openxmlformats.org/drawingml/2006/picture" xmlns:r="http://schemas.openxmlformats.org/officeDocument/2006/relationships" xmlns:s="http://schemas.openxmlformats.org/officeDocument/2006/sharedTypes" xmlns:sl="http://schemas.openxmlformats.org/schemaLibrary/2006/main" xmlns:v="urn:schemas-microsoft-com:vml" xmlns:w="http://schemas.openxmlformats.org/wordprocessingml/2006/main" xmlns:w10="urn:schemas-microsoft-com:office:word" xmlns:w14="http://schemas.microsoft.com/office/word/2010/wordml" xmlns:w15="http://schemas.microsoft.com/office/word/2012/wordml" xmlns:wp="http://schemas.openxmlformats.org/drawingml/2006/wordprocessingDrawing" xmlns:wpg="http://schemas.microsoft.com/office/word/2010/wordprocessingGroup" xmlns:wps="http://schemas.microsoft.com/office/word/2010/wordprocessingShape" xmlns:x="urn:schemas-microsoft-com:office:excel" xmlns:x12ac="http://schemas.microsoft.com/office/spreadsheetml/2011/1/ac" xmlns:x14="http://schemas.microsoft.com/office/spreadsheetml/2009/9/main" xmlns:xdr="http://schemas.openxmlformats.org/drawingml/2006/spreadsheetDrawing" xmlns:xm="http://schemas.microsoft.com/office/excel/2006/main"/>
        </mc:Fallback>
      </mc:AlternateContent>
    </w:r>
  </w:p>
</w:hdr>
</file>

<file path=word/header2.xml><?xml version="1.0" encoding="utf-8"?>
<w:hdr xmlns:a="http://schemas.openxmlformats.org/drawingml/2006/main" xmlns:a15="http://schemas.microsoft.com/office/drawing/2012/main" xmlns:asvg="http://schemas.microsoft.com/office/drawing/2016/SVG/main" xmlns:c="http://schemas.openxmlformats.org/drawingml/2006/chart" xmlns:co="http://ncloudtech.com" xmlns:co-ooxml="http://ncloudtech.com/ooxml" xmlns:m="http://schemas.openxmlformats.org/officeDocument/2006/math" xmlns:mc="http://schemas.openxmlformats.org/markup-compatibility/2006" xmlns:o="urn:schemas-microsoft-com:office:office" xmlns:p="http://schemas.openxmlformats.org/presentationml/2006/main" xmlns:pic="http://schemas.openxmlformats.org/drawingml/2006/picture" xmlns:r="http://schemas.openxmlformats.org/officeDocument/2006/relationships" xmlns:s="http://schemas.openxmlformats.org/officeDocument/2006/sharedTypes" xmlns:sl="http://schemas.openxmlformats.org/schemaLibrary/2006/main" xmlns:v="urn:schemas-microsoft-com:vml" xmlns:w="http://schemas.openxmlformats.org/wordprocessingml/2006/main" xmlns:w10="urn:schemas-microsoft-com:office:word" xmlns:w14="http://schemas.microsoft.com/office/word/2010/wordml" xmlns:w15="http://schemas.microsoft.com/office/word/2012/wordml" xmlns:wp="http://schemas.openxmlformats.org/drawingml/2006/wordprocessingDrawing" xmlns:wpg="http://schemas.microsoft.com/office/word/2010/wordprocessingGroup" xmlns:wps="http://schemas.microsoft.com/office/word/2010/wordprocessingShape" xmlns:x="urn:schemas-microsoft-com:office:excel" xmlns:x12ac="http://schemas.microsoft.com/office/spreadsheetml/2011/1/ac" xmlns:x14="http://schemas.microsoft.com/office/spreadsheetml/2009/9/main" xmlns:xdr="http://schemas.openxmlformats.org/drawingml/2006/spreadsheetDrawing" xmlns:xm="http://schemas.microsoft.com/office/excel/2006/main" mc:Ignorable="co co-ooxml w14 x14 w15">
  <w:p w14:paraId="03000000">
    <w:pPr>
      <w:pStyle w:val="Style_1"/>
      <w:widowControl w:val="1"/>
      <w:ind/>
      <w:jc w:val="center"/>
    </w:pPr>
    <w:r>
      <w:fldChar w:fldCharType="begin"/>
    </w:r>
    <w:r>
      <w:instrText xml:space="preserve">PAGE </w:instrText>
    </w:r>
    <w:r>
      <w:fldChar w:fldCharType="separate"/>
    </w:r>
    <w:r>
      <w:t xml:space="preserve"> </w:t>
    </w:r>
    <w:r>
      <w:fldChar w:fldCharType="end"/>
    </w:r>
  </w:p>
  <w:p w14:paraId="04000000">
    <w:pPr>
      <w:pStyle w:val="Style_1"/>
      <w:widowControl w:val="1"/>
      <w:ind/>
      <w:jc w:val="center"/>
    </w:pPr>
  </w:p>
</w:hdr>
</file>

<file path=word/settings.xml><?xml version="1.0" encoding="utf-8"?>
<w:settings xmlns:a="http://schemas.openxmlformats.org/drawingml/2006/main" xmlns:a15="http://schemas.microsoft.com/office/drawing/2012/main" xmlns:asvg="http://schemas.microsoft.com/office/drawing/2016/SVG/main" xmlns:c="http://schemas.openxmlformats.org/drawingml/2006/chart" xmlns:co="http://ncloudtech.com" xmlns:co-ooxml="http://ncloudtech.com/ooxml" xmlns:m="http://schemas.openxmlformats.org/officeDocument/2006/math" xmlns:mc="http://schemas.openxmlformats.org/markup-compatibility/2006" xmlns:o="urn:schemas-microsoft-com:office:office" xmlns:p="http://schemas.openxmlformats.org/presentationml/2006/main" xmlns:pic="http://schemas.openxmlformats.org/drawingml/2006/picture" xmlns:r="http://schemas.openxmlformats.org/officeDocument/2006/relationships" xmlns:s="http://schemas.openxmlformats.org/officeDocument/2006/sharedTypes" xmlns:sl="http://schemas.openxmlformats.org/schemaLibrary/2006/main" xmlns:v="urn:schemas-microsoft-com:vml" xmlns:w="http://schemas.openxmlformats.org/wordprocessingml/2006/main" xmlns:w10="urn:schemas-microsoft-com:office:word" xmlns:w14="http://schemas.microsoft.com/office/word/2010/wordml" xmlns:w15="http://schemas.microsoft.com/office/word/2012/wordml" xmlns:wp="http://schemas.openxmlformats.org/drawingml/2006/wordprocessingDrawing" xmlns:wpg="http://schemas.microsoft.com/office/word/2010/wordprocessingGroup" xmlns:wps="http://schemas.microsoft.com/office/word/2010/wordprocessingShape" xmlns:x="urn:schemas-microsoft-com:office:excel" xmlns:x12ac="http://schemas.microsoft.com/office/spreadsheetml/2011/1/ac" xmlns:x14="http://schemas.microsoft.com/office/spreadsheetml/2009/9/main" xmlns:xdr="http://schemas.openxmlformats.org/drawingml/2006/spreadsheetDrawing" xmlns:xm="http://schemas.microsoft.com/office/excel/2006/main" mc:Ignorable="co co-ooxml w14 x14 w15">
  <w:trackRevisions/>
  <w:defaultTabStop w:val="720"/>
  <w:compat>
    <w:compatSetting w:name="compatibilityMode" w:uri="http://schemas.microsoft.com/office/word" w:val="15"/>
  </w:compat>
  <w:clrSchemeMapping w:accent1="accent1" w:accent2="accent2" w:accent3="accent3" w:accent4="accent4" w:accent5="accent5" w:accent6="accent6" w:bg1="light1" w:bg2="light2" w:followedHyperlink="followedHyperlink" w:hyperlink="hyperlink" w:t1="dark1" w:t2="dark2"/>
</w:settings>
</file>

<file path=word/styles.xml><?xml version="1.0" encoding="utf-8"?>
<w:styles xmlns:a="http://schemas.openxmlformats.org/drawingml/2006/main" xmlns:a15="http://schemas.microsoft.com/office/drawing/2012/main" xmlns:asvg="http://schemas.microsoft.com/office/drawing/2016/SVG/main" xmlns:c="http://schemas.openxmlformats.org/drawingml/2006/chart" xmlns:co="http://ncloudtech.com" xmlns:co-ooxml="http://ncloudtech.com/ooxml" xmlns:m="http://schemas.openxmlformats.org/officeDocument/2006/math" xmlns:mc="http://schemas.openxmlformats.org/markup-compatibility/2006" xmlns:o="urn:schemas-microsoft-com:office:office" xmlns:p="http://schemas.openxmlformats.org/presentationml/2006/main" xmlns:pic="http://schemas.openxmlformats.org/drawingml/2006/picture" xmlns:r="http://schemas.openxmlformats.org/officeDocument/2006/relationships" xmlns:s="http://schemas.openxmlformats.org/officeDocument/2006/sharedTypes" xmlns:sl="http://schemas.openxmlformats.org/schemaLibrary/2006/main" xmlns:v="urn:schemas-microsoft-com:vml" xmlns:w="http://schemas.openxmlformats.org/wordprocessingml/2006/main" xmlns:w10="urn:schemas-microsoft-com:office:word" xmlns:w14="http://schemas.microsoft.com/office/word/2010/wordml" xmlns:w15="http://schemas.microsoft.com/office/word/2012/wordml" xmlns:wp="http://schemas.openxmlformats.org/drawingml/2006/wordprocessingDrawing" xmlns:wpg="http://schemas.microsoft.com/office/word/2010/wordprocessingGroup" xmlns:wps="http://schemas.microsoft.com/office/word/2010/wordprocessingShape" xmlns:x="urn:schemas-microsoft-com:office:excel" xmlns:x12ac="http://schemas.microsoft.com/office/spreadsheetml/2011/1/ac" xmlns:x14="http://schemas.microsoft.com/office/spreadsheetml/2009/9/main" xmlns:xdr="http://schemas.openxmlformats.org/drawingml/2006/spreadsheetDrawing" xmlns:xm="http://schemas.microsoft.com/office/excel/2006/main" mc:Ignorable="co co-ooxml w14 x14 w15">
  <w:docDefaults>
    <w:rPrDefault>
      <w:rPr>
        <w:rFonts w:ascii="Times New Roman" w:hAnsi="Times New Roman"/>
        <w:color w:val="000000"/>
        <w:spacing w:val="0"/>
        <w:sz w:val="20"/>
      </w:rPr>
    </w:rPrDefault>
    <w:pPrDefault>
      <w:pPr>
        <w:widowControl w:val="1"/>
        <w:spacing w:after="0" w:before="0" w:line="240" w:lineRule="auto"/>
        <w:ind w:firstLine="0" w:left="0" w:right="0"/>
        <w:jc w:val="left"/>
      </w:pPr>
    </w:pPrDefault>
  </w:docDefaults>
  <w:latentStyles w:count="25" w:defLockedState="0" w:defQFormat="0" w:defSemiHidden="1" w:defUIPriority="99" w:defUnhideWhenUsed="1">
    <w:lsdException w:name="Normal" w:qFormat="1" w:semiHidden="0" w:uiPriority="0" w:unhideWhenUsed="0"/>
    <w:lsdException w:name="heading 1" w:qFormat="1" w:semiHidden="0" w:uiPriority="9" w:unhideWhenUsed="0"/>
    <w:lsdException w:name="heading 2" w:qFormat="1" w:semiHidden="0" w:uiPriority="9" w:unhideWhenUsed="0"/>
    <w:lsdException w:name="heading 3" w:qFormat="1" w:semiHidden="0" w:uiPriority="9" w:unhideWhenUsed="0"/>
    <w:lsdException w:name="heading 4" w:qFormat="1" w:semiHidden="0" w:uiPriority="9" w:unhideWhenUsed="0"/>
    <w:lsdException w:name="heading 5" w:qFormat="1" w:semiHidden="0" w:uiPriority="9" w:unhideWhenUsed="0"/>
    <w:lsdException w:name="heading 6" w:qFormat="1" w:semiHidden="1" w:uiPriority="9" w:unhideWhenUsed="1"/>
    <w:lsdException w:name="heading 7" w:qFormat="1" w:semiHidden="1" w:uiPriority="9" w:unhideWhenUsed="1"/>
    <w:lsdException w:name="heading 8" w:qFormat="1" w:semiHidden="1" w:uiPriority="9" w:unhideWhenUsed="1"/>
    <w:lsdException w:name="heading 9" w:qFormat="1" w:semiHidden="1" w:uiPriority="9" w:unhideWhenUsed="1"/>
    <w:lsdException w:name="Title" w:qFormat="1" w:semiHidden="0" w:uiPriority="10" w:unhideWhenUsed="0"/>
    <w:lsdException w:name="Subtitle" w:qFormat="1" w:semiHidden="0" w:uiPriority="11" w:unhideWhenUsed="0"/>
    <w:lsdException w:name="Header and Footer" w:qFormat="0" w:semiHidden="0" w:unhideWhenUsed="0"/>
    <w:lsdException w:name="Footnote" w:qFormat="0" w:semiHidden="0" w:unhideWhenUsed="0"/>
    <w:lsdException w:name="Endnote" w:qFormat="0" w:semiHidden="0" w:unhideWhenUsed="0"/>
    <w:lsdException w:name="toc 1" w:qFormat="0" w:semiHidden="0" w:uiPriority="39" w:unhideWhenUsed="0"/>
    <w:lsdException w:name="toc 2" w:qFormat="0" w:semiHidden="0" w:uiPriority="39" w:unhideWhenUsed="0"/>
    <w:lsdException w:name="toc 3" w:qFormat="0" w:semiHidden="0" w:uiPriority="39" w:unhideWhenUsed="0"/>
    <w:lsdException w:name="toc 4" w:qFormat="0" w:semiHidden="0" w:uiPriority="39" w:unhideWhenUsed="0"/>
    <w:lsdException w:name="toc 5" w:qFormat="0" w:semiHidden="0" w:uiPriority="39" w:unhideWhenUsed="0"/>
    <w:lsdException w:name="toc 6" w:qFormat="0" w:semiHidden="0" w:uiPriority="39" w:unhideWhenUsed="0"/>
    <w:lsdException w:name="toc 7" w:qFormat="0" w:semiHidden="0" w:uiPriority="39" w:unhideWhenUsed="0"/>
    <w:lsdException w:name="toc 8" w:qFormat="0" w:semiHidden="0" w:uiPriority="39" w:unhideWhenUsed="0"/>
    <w:lsdException w:name="toc 9" w:qFormat="0" w:semiHidden="0" w:uiPriority="39" w:unhideWhenUsed="0"/>
    <w:lsdException w:name="Hyperlink" w:qFormat="0" w:semiHidden="0" w:unhideWhenUsed="0"/>
  </w:latentStyles>
  <w:style w:default="1" w:styleId="Style_5" w:type="paragraph">
    <w:name w:val="Normal"/>
    <w:link w:val="Style_5_ch"/>
    <w:uiPriority w:val="0"/>
    <w:qFormat/>
    <w:rPr>
      <w:sz w:val="28"/>
    </w:rPr>
  </w:style>
  <w:style w:default="1" w:styleId="Style_5_ch" w:type="character">
    <w:name w:val="Normal"/>
    <w:link w:val="Style_5"/>
    <w:rPr>
      <w:sz w:val="28"/>
    </w:rPr>
  </w:style>
  <w:style w:styleId="Style_6" w:type="paragraph">
    <w:name w:val="toc 2"/>
    <w:next w:val="Style_5"/>
    <w:link w:val="Style_6_ch"/>
    <w:uiPriority w:val="39"/>
    <w:pPr>
      <w:ind w:firstLine="0" w:left="200"/>
      <w:jc w:val="left"/>
    </w:pPr>
    <w:rPr>
      <w:rFonts w:ascii="XO Thames" w:hAnsi="XO Thames"/>
      <w:sz w:val="28"/>
    </w:rPr>
  </w:style>
  <w:style w:styleId="Style_6_ch" w:type="character">
    <w:name w:val="toc 2"/>
    <w:link w:val="Style_6"/>
    <w:rPr>
      <w:rFonts w:ascii="XO Thames" w:hAnsi="XO Thames"/>
      <w:sz w:val="28"/>
    </w:rPr>
  </w:style>
  <w:style w:styleId="Style_7" w:type="paragraph">
    <w:name w:val="toc 4"/>
    <w:next w:val="Style_5"/>
    <w:link w:val="Style_7_ch"/>
    <w:uiPriority w:val="39"/>
    <w:pPr>
      <w:ind w:firstLine="0" w:left="600"/>
      <w:jc w:val="left"/>
    </w:pPr>
    <w:rPr>
      <w:rFonts w:ascii="XO Thames" w:hAnsi="XO Thames"/>
      <w:sz w:val="28"/>
    </w:rPr>
  </w:style>
  <w:style w:styleId="Style_7_ch" w:type="character">
    <w:name w:val="toc 4"/>
    <w:link w:val="Style_7"/>
    <w:rPr>
      <w:rFonts w:ascii="XO Thames" w:hAnsi="XO Thames"/>
      <w:sz w:val="28"/>
    </w:rPr>
  </w:style>
  <w:style w:styleId="Style_8" w:type="paragraph">
    <w:name w:val="Font Style81"/>
    <w:basedOn w:val="Style_9"/>
    <w:link w:val="Style_8_ch"/>
    <w:rPr>
      <w:rFonts w:ascii="Arial Narrow" w:hAnsi="Arial Narrow"/>
      <w:b w:val="1"/>
      <w:sz w:val="18"/>
    </w:rPr>
  </w:style>
  <w:style w:styleId="Style_8_ch" w:type="character">
    <w:name w:val="Font Style81"/>
    <w:basedOn w:val="Style_9_ch"/>
    <w:link w:val="Style_8"/>
    <w:rPr>
      <w:rFonts w:ascii="Arial Narrow" w:hAnsi="Arial Narrow"/>
      <w:b w:val="1"/>
      <w:sz w:val="18"/>
    </w:rPr>
  </w:style>
  <w:style w:styleId="Style_10" w:type="paragraph">
    <w:name w:val="toc 6"/>
    <w:next w:val="Style_5"/>
    <w:link w:val="Style_10_ch"/>
    <w:uiPriority w:val="39"/>
    <w:pPr>
      <w:ind w:firstLine="0" w:left="1000"/>
      <w:jc w:val="left"/>
    </w:pPr>
    <w:rPr>
      <w:rFonts w:ascii="XO Thames" w:hAnsi="XO Thames"/>
      <w:sz w:val="28"/>
    </w:rPr>
  </w:style>
  <w:style w:styleId="Style_10_ch" w:type="character">
    <w:name w:val="toc 6"/>
    <w:link w:val="Style_10"/>
    <w:rPr>
      <w:rFonts w:ascii="XO Thames" w:hAnsi="XO Thames"/>
      <w:sz w:val="28"/>
    </w:rPr>
  </w:style>
  <w:style w:styleId="Style_11" w:type="paragraph">
    <w:name w:val="toc 7"/>
    <w:next w:val="Style_5"/>
    <w:link w:val="Style_11_ch"/>
    <w:uiPriority w:val="39"/>
    <w:pPr>
      <w:ind w:firstLine="0" w:left="1200"/>
      <w:jc w:val="left"/>
    </w:pPr>
    <w:rPr>
      <w:rFonts w:ascii="XO Thames" w:hAnsi="XO Thames"/>
      <w:sz w:val="28"/>
    </w:rPr>
  </w:style>
  <w:style w:styleId="Style_11_ch" w:type="character">
    <w:name w:val="toc 7"/>
    <w:link w:val="Style_11"/>
    <w:rPr>
      <w:rFonts w:ascii="XO Thames" w:hAnsi="XO Thames"/>
      <w:sz w:val="28"/>
    </w:rPr>
  </w:style>
  <w:style w:styleId="Style_2" w:type="paragraph">
    <w:name w:val="page number"/>
    <w:basedOn w:val="Style_9"/>
    <w:link w:val="Style_2_ch"/>
  </w:style>
  <w:style w:styleId="Style_2_ch" w:type="character">
    <w:name w:val="page number"/>
    <w:basedOn w:val="Style_9_ch"/>
    <w:link w:val="Style_2"/>
  </w:style>
  <w:style w:styleId="Style_12" w:type="paragraph">
    <w:name w:val="Endnote"/>
    <w:link w:val="Style_12_ch"/>
    <w:pPr>
      <w:ind w:firstLine="851" w:left="0"/>
      <w:jc w:val="both"/>
    </w:pPr>
    <w:rPr>
      <w:rFonts w:ascii="XO Thames" w:hAnsi="XO Thames"/>
      <w:sz w:val="22"/>
    </w:rPr>
  </w:style>
  <w:style w:styleId="Style_12_ch" w:type="character">
    <w:name w:val="Endnote"/>
    <w:link w:val="Style_12"/>
    <w:rPr>
      <w:rFonts w:ascii="XO Thames" w:hAnsi="XO Thames"/>
      <w:sz w:val="22"/>
    </w:rPr>
  </w:style>
  <w:style w:styleId="Style_13" w:type="paragraph">
    <w:name w:val="heading 3"/>
    <w:next w:val="Style_5"/>
    <w:link w:val="Style_13_ch"/>
    <w:uiPriority w:val="9"/>
    <w:qFormat/>
    <w:pPr>
      <w:spacing w:after="120" w:before="120"/>
      <w:ind/>
      <w:jc w:val="both"/>
      <w:outlineLvl w:val="2"/>
    </w:pPr>
    <w:rPr>
      <w:rFonts w:ascii="XO Thames" w:hAnsi="XO Thames"/>
      <w:b w:val="1"/>
      <w:sz w:val="26"/>
    </w:rPr>
  </w:style>
  <w:style w:styleId="Style_13_ch" w:type="character">
    <w:name w:val="heading 3"/>
    <w:link w:val="Style_13"/>
    <w:rPr>
      <w:rFonts w:ascii="XO Thames" w:hAnsi="XO Thames"/>
      <w:b w:val="1"/>
      <w:sz w:val="26"/>
    </w:rPr>
  </w:style>
  <w:style w:styleId="Style_14" w:type="paragraph">
    <w:name w:val="Balloon Text"/>
    <w:basedOn w:val="Style_5"/>
    <w:link w:val="Style_14_ch"/>
    <w:rPr>
      <w:rFonts w:ascii="Tahoma" w:hAnsi="Tahoma"/>
      <w:sz w:val="16"/>
    </w:rPr>
  </w:style>
  <w:style w:styleId="Style_14_ch" w:type="character">
    <w:name w:val="Balloon Text"/>
    <w:basedOn w:val="Style_5_ch"/>
    <w:link w:val="Style_14"/>
    <w:rPr>
      <w:rFonts w:ascii="Tahoma" w:hAnsi="Tahoma"/>
      <w:sz w:val="16"/>
    </w:rPr>
  </w:style>
  <w:style w:styleId="Style_15" w:type="paragraph">
    <w:name w:val="Подпись к таблице"/>
    <w:basedOn w:val="Style_5"/>
    <w:link w:val="Style_15_ch"/>
    <w:pPr>
      <w:widowControl w:val="0"/>
      <w:ind/>
    </w:pPr>
    <w:rPr>
      <w:b w:val="1"/>
      <w:sz w:val="20"/>
      <w:u w:val="single"/>
    </w:rPr>
  </w:style>
  <w:style w:styleId="Style_15_ch" w:type="character">
    <w:name w:val="Подпись к таблице"/>
    <w:basedOn w:val="Style_5_ch"/>
    <w:link w:val="Style_15"/>
    <w:rPr>
      <w:b w:val="1"/>
      <w:sz w:val="20"/>
      <w:u w:val="single"/>
    </w:rPr>
  </w:style>
  <w:style w:styleId="Style_16" w:type="paragraph">
    <w:name w:val="Placeholder Text"/>
    <w:basedOn w:val="Style_9"/>
    <w:link w:val="Style_16_ch"/>
    <w:rPr>
      <w:color w:val="808080"/>
    </w:rPr>
  </w:style>
  <w:style w:styleId="Style_16_ch" w:type="character">
    <w:name w:val="Placeholder Text"/>
    <w:basedOn w:val="Style_9_ch"/>
    <w:link w:val="Style_16"/>
    <w:rPr>
      <w:color w:val="808080"/>
    </w:rPr>
  </w:style>
  <w:style w:styleId="Style_1" w:type="paragraph">
    <w:name w:val="header"/>
    <w:basedOn w:val="Style_5"/>
    <w:link w:val="Style_1_ch"/>
    <w:pPr>
      <w:widowControl w:val="1"/>
      <w:tabs>
        <w:tab w:leader="none" w:pos="4677" w:val="center"/>
        <w:tab w:leader="none" w:pos="9355" w:val="right"/>
      </w:tabs>
      <w:ind/>
    </w:pPr>
  </w:style>
  <w:style w:styleId="Style_1_ch" w:type="character">
    <w:name w:val="header"/>
    <w:basedOn w:val="Style_5_ch"/>
    <w:link w:val="Style_1"/>
  </w:style>
  <w:style w:styleId="Style_9" w:type="paragraph">
    <w:name w:val="Default Paragraph Font"/>
    <w:link w:val="Style_9_ch"/>
  </w:style>
  <w:style w:styleId="Style_9_ch" w:type="character">
    <w:name w:val="Default Paragraph Font"/>
    <w:link w:val="Style_9"/>
  </w:style>
  <w:style w:styleId="Style_17" w:type="paragraph">
    <w:name w:val="Заголовок №1"/>
    <w:basedOn w:val="Style_5"/>
    <w:link w:val="Style_17_ch"/>
    <w:pPr>
      <w:widowControl w:val="0"/>
      <w:spacing w:after="430" w:line="300" w:lineRule="auto"/>
      <w:ind/>
      <w:jc w:val="center"/>
      <w:outlineLvl w:val="0"/>
    </w:pPr>
    <w:rPr>
      <w:b w:val="1"/>
      <w:sz w:val="26"/>
    </w:rPr>
  </w:style>
  <w:style w:styleId="Style_17_ch" w:type="character">
    <w:name w:val="Заголовок №1"/>
    <w:basedOn w:val="Style_5_ch"/>
    <w:link w:val="Style_17"/>
    <w:rPr>
      <w:b w:val="1"/>
      <w:sz w:val="26"/>
    </w:rPr>
  </w:style>
  <w:style w:styleId="Style_18" w:type="paragraph">
    <w:name w:val="Другое"/>
    <w:basedOn w:val="Style_5"/>
    <w:link w:val="Style_18_ch"/>
    <w:pPr>
      <w:widowControl w:val="0"/>
      <w:spacing w:line="300" w:lineRule="auto"/>
      <w:ind w:firstLine="400"/>
    </w:pPr>
    <w:rPr>
      <w:sz w:val="26"/>
    </w:rPr>
  </w:style>
  <w:style w:styleId="Style_18_ch" w:type="character">
    <w:name w:val="Другое"/>
    <w:basedOn w:val="Style_5_ch"/>
    <w:link w:val="Style_18"/>
    <w:rPr>
      <w:sz w:val="26"/>
    </w:rPr>
  </w:style>
  <w:style w:styleId="Style_19" w:type="paragraph">
    <w:name w:val="List Paragraph"/>
    <w:basedOn w:val="Style_5"/>
    <w:link w:val="Style_19_ch"/>
    <w:pPr>
      <w:widowControl w:val="1"/>
      <w:ind w:left="720"/>
      <w:contextualSpacing w:val="1"/>
    </w:pPr>
    <w:rPr>
      <w:sz w:val="20"/>
    </w:rPr>
  </w:style>
  <w:style w:styleId="Style_19_ch" w:type="character">
    <w:name w:val="List Paragraph"/>
    <w:basedOn w:val="Style_5_ch"/>
    <w:link w:val="Style_19"/>
    <w:rPr>
      <w:sz w:val="20"/>
    </w:rPr>
  </w:style>
  <w:style w:styleId="Style_3" w:type="paragraph">
    <w:name w:val="footer"/>
    <w:basedOn w:val="Style_5"/>
    <w:link w:val="Style_3_ch"/>
    <w:pPr>
      <w:widowControl w:val="1"/>
      <w:tabs>
        <w:tab w:leader="none" w:pos="4677" w:val="center"/>
        <w:tab w:leader="none" w:pos="9355" w:val="right"/>
      </w:tabs>
      <w:ind/>
    </w:pPr>
  </w:style>
  <w:style w:styleId="Style_3_ch" w:type="character">
    <w:name w:val="footer"/>
    <w:basedOn w:val="Style_5_ch"/>
    <w:link w:val="Style_3"/>
  </w:style>
  <w:style w:styleId="Style_20" w:type="paragraph">
    <w:name w:val="toc 3"/>
    <w:next w:val="Style_5"/>
    <w:link w:val="Style_20_ch"/>
    <w:uiPriority w:val="39"/>
    <w:pPr>
      <w:ind w:firstLine="0" w:left="400"/>
      <w:jc w:val="left"/>
    </w:pPr>
    <w:rPr>
      <w:rFonts w:ascii="XO Thames" w:hAnsi="XO Thames"/>
      <w:sz w:val="28"/>
    </w:rPr>
  </w:style>
  <w:style w:styleId="Style_20_ch" w:type="character">
    <w:name w:val="toc 3"/>
    <w:link w:val="Style_20"/>
    <w:rPr>
      <w:rFonts w:ascii="XO Thames" w:hAnsi="XO Thames"/>
      <w:sz w:val="28"/>
    </w:rPr>
  </w:style>
  <w:style w:styleId="Style_21" w:type="paragraph">
    <w:name w:val="Body Text"/>
    <w:basedOn w:val="Style_5"/>
    <w:link w:val="Style_21_ch"/>
    <w:pPr>
      <w:widowControl w:val="1"/>
      <w:spacing w:after="120"/>
      <w:ind/>
    </w:pPr>
  </w:style>
  <w:style w:styleId="Style_21_ch" w:type="character">
    <w:name w:val="Body Text"/>
    <w:basedOn w:val="Style_5_ch"/>
    <w:link w:val="Style_21"/>
  </w:style>
  <w:style w:styleId="Style_22" w:type="paragraph">
    <w:name w:val="heading 5"/>
    <w:next w:val="Style_5"/>
    <w:link w:val="Style_22_ch"/>
    <w:uiPriority w:val="9"/>
    <w:qFormat/>
    <w:pPr>
      <w:spacing w:after="120" w:before="120"/>
      <w:ind/>
      <w:jc w:val="both"/>
      <w:outlineLvl w:val="4"/>
    </w:pPr>
    <w:rPr>
      <w:rFonts w:ascii="XO Thames" w:hAnsi="XO Thames"/>
      <w:b w:val="1"/>
      <w:sz w:val="22"/>
    </w:rPr>
  </w:style>
  <w:style w:styleId="Style_22_ch" w:type="character">
    <w:name w:val="heading 5"/>
    <w:link w:val="Style_22"/>
    <w:rPr>
      <w:rFonts w:ascii="XO Thames" w:hAnsi="XO Thames"/>
      <w:b w:val="1"/>
      <w:sz w:val="22"/>
    </w:rPr>
  </w:style>
  <w:style w:styleId="Style_23" w:type="paragraph">
    <w:name w:val="Основной текст1"/>
    <w:basedOn w:val="Style_5"/>
    <w:link w:val="Style_23_ch"/>
    <w:pPr>
      <w:widowControl w:val="0"/>
      <w:spacing w:line="300" w:lineRule="auto"/>
      <w:ind w:firstLine="400"/>
    </w:pPr>
    <w:rPr>
      <w:sz w:val="26"/>
    </w:rPr>
  </w:style>
  <w:style w:styleId="Style_23_ch" w:type="character">
    <w:name w:val="Основной текст1"/>
    <w:basedOn w:val="Style_5_ch"/>
    <w:link w:val="Style_23"/>
    <w:rPr>
      <w:sz w:val="26"/>
    </w:rPr>
  </w:style>
  <w:style w:styleId="Style_24" w:type="paragraph">
    <w:name w:val="heading 1"/>
    <w:basedOn w:val="Style_5"/>
    <w:link w:val="Style_24_ch"/>
    <w:uiPriority w:val="9"/>
    <w:qFormat/>
    <w:pPr>
      <w:widowControl w:val="1"/>
      <w:spacing w:afterAutospacing="on" w:beforeAutospacing="on"/>
      <w:ind/>
      <w:outlineLvl w:val="0"/>
    </w:pPr>
    <w:rPr>
      <w:b w:val="1"/>
      <w:sz w:val="48"/>
    </w:rPr>
  </w:style>
  <w:style w:styleId="Style_24_ch" w:type="character">
    <w:name w:val="heading 1"/>
    <w:basedOn w:val="Style_5_ch"/>
    <w:link w:val="Style_24"/>
    <w:rPr>
      <w:b w:val="1"/>
      <w:sz w:val="48"/>
    </w:rPr>
  </w:style>
  <w:style w:styleId="Style_25" w:type="paragraph">
    <w:name w:val="Hyperlink"/>
    <w:link w:val="Style_25_ch"/>
    <w:rPr>
      <w:color w:val="0000FF"/>
      <w:u w:val="single"/>
    </w:rPr>
  </w:style>
  <w:style w:styleId="Style_25_ch" w:type="character">
    <w:name w:val="Hyperlink"/>
    <w:link w:val="Style_25"/>
    <w:rPr>
      <w:color w:val="0000FF"/>
      <w:u w:val="single"/>
    </w:rPr>
  </w:style>
  <w:style w:styleId="Style_26" w:type="paragraph">
    <w:name w:val="Footnote"/>
    <w:link w:val="Style_26_ch"/>
    <w:pPr>
      <w:ind w:firstLine="851" w:left="0"/>
      <w:jc w:val="both"/>
    </w:pPr>
    <w:rPr>
      <w:rFonts w:ascii="XO Thames" w:hAnsi="XO Thames"/>
      <w:sz w:val="22"/>
    </w:rPr>
  </w:style>
  <w:style w:styleId="Style_26_ch" w:type="character">
    <w:name w:val="Footnote"/>
    <w:link w:val="Style_26"/>
    <w:rPr>
      <w:rFonts w:ascii="XO Thames" w:hAnsi="XO Thames"/>
      <w:sz w:val="22"/>
    </w:rPr>
  </w:style>
  <w:style w:styleId="Style_27" w:type="paragraph">
    <w:name w:val="toc 1"/>
    <w:next w:val="Style_5"/>
    <w:link w:val="Style_27_ch"/>
    <w:uiPriority w:val="39"/>
    <w:pPr>
      <w:ind w:firstLine="0" w:left="0"/>
      <w:jc w:val="left"/>
    </w:pPr>
    <w:rPr>
      <w:rFonts w:ascii="XO Thames" w:hAnsi="XO Thames"/>
      <w:b w:val="1"/>
      <w:sz w:val="28"/>
    </w:rPr>
  </w:style>
  <w:style w:styleId="Style_27_ch" w:type="character">
    <w:name w:val="toc 1"/>
    <w:link w:val="Style_27"/>
    <w:rPr>
      <w:rFonts w:ascii="XO Thames" w:hAnsi="XO Thames"/>
      <w:b w:val="1"/>
      <w:sz w:val="28"/>
    </w:rPr>
  </w:style>
  <w:style w:styleId="Style_28" w:type="paragraph">
    <w:name w:val="Body Text Indent 2"/>
    <w:basedOn w:val="Style_5"/>
    <w:link w:val="Style_28_ch"/>
    <w:pPr>
      <w:widowControl w:val="1"/>
      <w:ind w:firstLine="550" w:right="352"/>
      <w:jc w:val="both"/>
    </w:pPr>
  </w:style>
  <w:style w:styleId="Style_28_ch" w:type="character">
    <w:name w:val="Body Text Indent 2"/>
    <w:basedOn w:val="Style_5_ch"/>
    <w:link w:val="Style_28"/>
  </w:style>
  <w:style w:styleId="Style_29" w:type="paragraph">
    <w:name w:val="Header and Footer"/>
    <w:link w:val="Style_29_ch"/>
    <w:pPr>
      <w:spacing w:line="240" w:lineRule="auto"/>
      <w:ind/>
      <w:jc w:val="both"/>
    </w:pPr>
    <w:rPr>
      <w:rFonts w:ascii="XO Thames" w:hAnsi="XO Thames"/>
      <w:sz w:val="28"/>
    </w:rPr>
  </w:style>
  <w:style w:styleId="Style_29_ch" w:type="character">
    <w:name w:val="Header and Footer"/>
    <w:link w:val="Style_29"/>
    <w:rPr>
      <w:rFonts w:ascii="XO Thames" w:hAnsi="XO Thames"/>
      <w:sz w:val="28"/>
    </w:rPr>
  </w:style>
  <w:style w:styleId="Style_30" w:type="paragraph">
    <w:name w:val="toc 9"/>
    <w:next w:val="Style_5"/>
    <w:link w:val="Style_30_ch"/>
    <w:uiPriority w:val="39"/>
    <w:pPr>
      <w:ind w:firstLine="0" w:left="1600"/>
      <w:jc w:val="left"/>
    </w:pPr>
    <w:rPr>
      <w:rFonts w:ascii="XO Thames" w:hAnsi="XO Thames"/>
      <w:sz w:val="28"/>
    </w:rPr>
  </w:style>
  <w:style w:styleId="Style_30_ch" w:type="character">
    <w:name w:val="toc 9"/>
    <w:link w:val="Style_30"/>
    <w:rPr>
      <w:rFonts w:ascii="XO Thames" w:hAnsi="XO Thames"/>
      <w:sz w:val="28"/>
    </w:rPr>
  </w:style>
  <w:style w:styleId="Style_31" w:type="paragraph">
    <w:name w:val="toc 8"/>
    <w:next w:val="Style_5"/>
    <w:link w:val="Style_31_ch"/>
    <w:uiPriority w:val="39"/>
    <w:pPr>
      <w:ind w:firstLine="0" w:left="1400"/>
      <w:jc w:val="left"/>
    </w:pPr>
    <w:rPr>
      <w:rFonts w:ascii="XO Thames" w:hAnsi="XO Thames"/>
      <w:sz w:val="28"/>
    </w:rPr>
  </w:style>
  <w:style w:styleId="Style_31_ch" w:type="character">
    <w:name w:val="toc 8"/>
    <w:link w:val="Style_31"/>
    <w:rPr>
      <w:rFonts w:ascii="XO Thames" w:hAnsi="XO Thames"/>
      <w:sz w:val="28"/>
    </w:rPr>
  </w:style>
  <w:style w:styleId="Style_32" w:type="paragraph">
    <w:link w:val="Style_32_ch"/>
    <w:semiHidden w:val="1"/>
    <w:unhideWhenUsed w:val="1"/>
    <w:rPr>
      <w:sz w:val="28"/>
    </w:rPr>
  </w:style>
  <w:style w:styleId="Style_32_ch" w:type="character">
    <w:link w:val="Style_32"/>
    <w:semiHidden w:val="1"/>
    <w:unhideWhenUsed w:val="1"/>
    <w:rPr>
      <w:sz w:val="28"/>
    </w:rPr>
  </w:style>
  <w:style w:styleId="Style_33" w:type="paragraph">
    <w:name w:val="toc 5"/>
    <w:next w:val="Style_5"/>
    <w:link w:val="Style_33_ch"/>
    <w:uiPriority w:val="39"/>
    <w:pPr>
      <w:ind w:firstLine="0" w:left="800"/>
      <w:jc w:val="left"/>
    </w:pPr>
    <w:rPr>
      <w:rFonts w:ascii="XO Thames" w:hAnsi="XO Thames"/>
      <w:sz w:val="28"/>
    </w:rPr>
  </w:style>
  <w:style w:styleId="Style_33_ch" w:type="character">
    <w:name w:val="toc 5"/>
    <w:link w:val="Style_33"/>
    <w:rPr>
      <w:rFonts w:ascii="XO Thames" w:hAnsi="XO Thames"/>
      <w:sz w:val="28"/>
    </w:rPr>
  </w:style>
  <w:style w:styleId="Style_34" w:type="paragraph">
    <w:name w:val="Style15"/>
    <w:basedOn w:val="Style_5"/>
    <w:link w:val="Style_34_ch"/>
    <w:pPr>
      <w:widowControl w:val="0"/>
      <w:ind/>
    </w:pPr>
    <w:rPr>
      <w:sz w:val="24"/>
    </w:rPr>
  </w:style>
  <w:style w:styleId="Style_34_ch" w:type="character">
    <w:name w:val="Style15"/>
    <w:basedOn w:val="Style_5_ch"/>
    <w:link w:val="Style_34"/>
    <w:rPr>
      <w:sz w:val="24"/>
    </w:rPr>
  </w:style>
  <w:style w:styleId="Style_35" w:type="paragraph">
    <w:name w:val="Основной текст (3)"/>
    <w:basedOn w:val="Style_5"/>
    <w:link w:val="Style_35_ch"/>
    <w:pPr>
      <w:widowControl w:val="1"/>
      <w:spacing w:before="240" w:line="324" w:lineRule="exact"/>
      <w:ind w:firstLine="560"/>
      <w:jc w:val="both"/>
    </w:pPr>
  </w:style>
  <w:style w:styleId="Style_35_ch" w:type="character">
    <w:name w:val="Основной текст (3)"/>
    <w:basedOn w:val="Style_5_ch"/>
    <w:link w:val="Style_35"/>
  </w:style>
  <w:style w:styleId="Style_36" w:type="paragraph">
    <w:name w:val="Subtitle"/>
    <w:next w:val="Style_5"/>
    <w:link w:val="Style_36_ch"/>
    <w:uiPriority w:val="11"/>
    <w:qFormat/>
    <w:pPr>
      <w:ind/>
      <w:jc w:val="both"/>
    </w:pPr>
    <w:rPr>
      <w:rFonts w:ascii="XO Thames" w:hAnsi="XO Thames"/>
      <w:i w:val="1"/>
      <w:sz w:val="24"/>
    </w:rPr>
  </w:style>
  <w:style w:styleId="Style_36_ch" w:type="character">
    <w:name w:val="Subtitle"/>
    <w:link w:val="Style_36"/>
    <w:rPr>
      <w:rFonts w:ascii="XO Thames" w:hAnsi="XO Thames"/>
      <w:i w:val="1"/>
      <w:sz w:val="24"/>
    </w:rPr>
  </w:style>
  <w:style w:styleId="Style_37" w:type="paragraph">
    <w:name w:val="Title"/>
    <w:basedOn w:val="Style_5"/>
    <w:link w:val="Style_37_ch"/>
    <w:uiPriority w:val="10"/>
    <w:qFormat/>
    <w:pPr>
      <w:widowControl w:val="1"/>
      <w:ind/>
      <w:jc w:val="center"/>
    </w:pPr>
  </w:style>
  <w:style w:styleId="Style_37_ch" w:type="character">
    <w:name w:val="Title"/>
    <w:basedOn w:val="Style_5_ch"/>
    <w:link w:val="Style_37"/>
  </w:style>
  <w:style w:styleId="Style_38" w:type="paragraph">
    <w:name w:val="heading 4"/>
    <w:next w:val="Style_5"/>
    <w:link w:val="Style_38_ch"/>
    <w:uiPriority w:val="9"/>
    <w:qFormat/>
    <w:pPr>
      <w:spacing w:after="120" w:before="120"/>
      <w:ind/>
      <w:jc w:val="both"/>
      <w:outlineLvl w:val="3"/>
    </w:pPr>
    <w:rPr>
      <w:rFonts w:ascii="XO Thames" w:hAnsi="XO Thames"/>
      <w:b w:val="1"/>
      <w:sz w:val="24"/>
    </w:rPr>
  </w:style>
  <w:style w:styleId="Style_38_ch" w:type="character">
    <w:name w:val="heading 4"/>
    <w:link w:val="Style_38"/>
    <w:rPr>
      <w:rFonts w:ascii="XO Thames" w:hAnsi="XO Thames"/>
      <w:b w:val="1"/>
      <w:sz w:val="24"/>
    </w:rPr>
  </w:style>
  <w:style w:styleId="Style_39" w:type="paragraph">
    <w:name w:val="heading 2"/>
    <w:next w:val="Style_5"/>
    <w:link w:val="Style_39_ch"/>
    <w:uiPriority w:val="9"/>
    <w:qFormat/>
    <w:pPr>
      <w:spacing w:after="120" w:before="120"/>
      <w:ind/>
      <w:jc w:val="both"/>
      <w:outlineLvl w:val="1"/>
    </w:pPr>
    <w:rPr>
      <w:rFonts w:ascii="XO Thames" w:hAnsi="XO Thames"/>
      <w:b w:val="1"/>
      <w:sz w:val="28"/>
    </w:rPr>
  </w:style>
  <w:style w:styleId="Style_39_ch" w:type="character">
    <w:name w:val="heading 2"/>
    <w:link w:val="Style_39"/>
    <w:rPr>
      <w:rFonts w:ascii="XO Thames" w:hAnsi="XO Thames"/>
      <w:b w:val="1"/>
      <w:sz w:val="28"/>
    </w:rPr>
  </w:style>
  <w:style w:styleId="Style_40" w:type="table">
    <w:name w:val="Table Grid"/>
    <w:basedOn w:val="Style_4"/>
    <w:tblPr>
      <w:tblBorders>
        <w:top w:color="000000" w:sz="4" w:val="single"/>
        <w:left w:color="000000" w:sz="4" w:val="single"/>
        <w:bottom w:color="000000" w:sz="4" w:val="single"/>
        <w:right w:color="000000" w:sz="4" w:val="single"/>
        <w:insideH w:color="000000" w:sz="4" w:val="single"/>
        <w:insideV w:color="000000" w:sz="4" w:val="single"/>
      </w:tblBorders>
    </w:tblPr>
  </w:style>
  <w:style w:default="1" w:styleId="Style_4" w:type="table">
    <w:name w:val="Normal Table"/>
    <w:tblPr>
      <w:tblInd w:type="dxa" w:w="0"/>
      <w:tblCellMar>
        <w:top w:type="dxa" w:w="0"/>
        <w:left w:type="dxa" w:w="108"/>
        <w:bottom w:type="dxa" w:w="0"/>
        <w:right w:type="dxa" w:w="108"/>
      </w:tblCellMar>
    </w:tblPr>
  </w:style>
</w:styles>
</file>

<file path=word/stylesWithEffects.xml><?xml version="1.0" encoding="utf-8"?>
<w:styles xmlns:w="http://schemas.openxmlformats.org/wordprocessingml/2006/main">
  <w:docDefaults>
    <w:rPrDefault>
      <w:rPr>
        <w:rFonts w:asciiTheme="minorHAnsi" w:cstheme="minorBidi" w:eastAsiaTheme="minorEastAsia" w:hAnsiTheme="minorHAnsi"/>
        <w:sz w:val="24"/>
        <w:szCs w:val="24"/>
        <w:lang w:bidi="ar-SA" w:eastAsia="en-US" w:val="en-US"/>
      </w:rPr>
    </w:rPrDefault>
    <w:pPrDefault/>
  </w:docDefaults>
  <w:latentStyles w:count="276" w:defLockedState="0" w:defQFormat="0" w:defSemiHidden="1" w:defUIPriority="99" w:defUnhideWhenUsed="1">
    <w:lsdException w:name="Normal" w:qFormat="1" w:semiHidden="0" w:uiPriority="0" w:unhideWhenUsed="0"/>
    <w:lsdException w:name="heading 1" w:qFormat="1" w:semiHidden="0" w:uiPriority="9" w:unhideWhenUsed="0"/>
    <w:lsdException w:name="heading 2" w:qFormat="1" w:uiPriority="9"/>
    <w:lsdException w:name="heading 3" w:qFormat="1" w:uiPriority="9"/>
    <w:lsdException w:name="heading 4" w:qFormat="1" w:uiPriority="9"/>
    <w:lsdException w:name="heading 5" w:qFormat="1" w:uiPriority="9"/>
    <w:lsdException w:name="heading 6" w:qFormat="1" w:uiPriority="9"/>
    <w:lsdException w:name="heading 7" w:qFormat="1" w:uiPriority="9"/>
    <w:lsdException w:name="heading 8" w:qFormat="1" w:uiPriority="9"/>
    <w:lsdException w:name="heading 9" w:qFormat="1" w:uiPriority="9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qFormat="1" w:uiPriority="35"/>
    <w:lsdException w:name="Title" w:qFormat="1" w:semiHidden="0" w:uiPriority="10" w:unhideWhenUsed="0"/>
    <w:lsdException w:name="Default Paragraph Font" w:uiPriority="1"/>
    <w:lsdException w:name="Subtitle" w:qFormat="1" w:semiHidden="0" w:uiPriority="11" w:unhideWhenUsed="0"/>
    <w:lsdException w:name="Strong" w:qFormat="1" w:semiHidden="0" w:uiPriority="22" w:unhideWhenUsed="0"/>
    <w:lsdException w:name="Emphasis" w:qFormat="1" w:semiHidden="0" w:uiPriority="20" w:unhideWhenUsed="0"/>
    <w:lsdException w:name="Table Grid" w:semiHidden="0" w:uiPriority="59" w:unhideWhenUsed="0"/>
    <w:lsdException w:name="Placeholder Text" w:unhideWhenUsed="0"/>
    <w:lsdException w:name="No Spacing" w:qFormat="1" w:semiHidden="0" w:uiPriority="1" w:unhideWhenUsed="0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qFormat="1" w:semiHidden="0" w:uiPriority="34" w:unhideWhenUsed="0"/>
    <w:lsdException w:name="Quote" w:qFormat="1" w:semiHidden="0" w:uiPriority="29" w:unhideWhenUsed="0"/>
    <w:lsdException w:name="Intense Quote" w:qFormat="1" w:semiHidden="0" w:uiPriority="30" w:unhideWhenUsed="0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qFormat="1" w:semiHidden="0" w:uiPriority="19" w:unhideWhenUsed="0"/>
    <w:lsdException w:name="Intense Emphasis" w:qFormat="1" w:semiHidden="0" w:uiPriority="21" w:unhideWhenUsed="0"/>
    <w:lsdException w:name="Subtle Reference" w:qFormat="1" w:semiHidden="0" w:uiPriority="31" w:unhideWhenUsed="0"/>
    <w:lsdException w:name="Intense Reference" w:qFormat="1" w:semiHidden="0" w:uiPriority="32" w:unhideWhenUsed="0"/>
    <w:lsdException w:name="Book Title" w:qFormat="1" w:semiHidden="0" w:uiPriority="33" w:unhideWhenUsed="0"/>
    <w:lsdException w:name="Bibliography" w:uiPriority="37"/>
    <w:lsdException w:name="TOC Heading" w:qFormat="1" w:uiPriority="39"/>
  </w:latentStyles>
  <w:style w:default="1" w:styleId="Normal" w:type="paragraph">
    <w:name w:val="Normal"/>
    <w:qFormat/>
  </w:style>
  <w:style w:styleId="Heading1" w:type="paragraph">
    <w:name w:val="heading 1"/>
    <w:basedOn w:val="Normal"/>
    <w:next w:val="Normal"/>
    <w:link w:val="Heading1Char"/>
    <w:uiPriority w:val="9"/>
    <w:qFormat/>
    <w:rsid w:val="00111FAE"/>
    <w:pPr>
      <w:keepNext/>
      <w:keepLines/>
      <w:spacing w:before="480"/>
      <w:outlineLvl w:val="0"/>
    </w:pPr>
    <w:rPr>
      <w:rFonts w:asciiTheme="majorHAnsi" w:cstheme="majorBidi" w:eastAsiaTheme="majorEastAsia" w:hAnsiTheme="majorHAnsi"/>
      <w:b/>
      <w:bCs/>
      <w:color w:themeColor="accent1" w:themeShade="B5" w:val="345A8A"/>
      <w:sz w:val="32"/>
      <w:szCs w:val="32"/>
    </w:rPr>
  </w:style>
  <w:style w:default="1" w:styleId="DefaultParagraphFont" w:type="character">
    <w:name w:val="Default Paragraph Font"/>
    <w:uiPriority w:val="1"/>
    <w:semiHidden/>
    <w:unhideWhenUsed/>
  </w:style>
  <w:style w:default="1" w:styleId="TableNormal" w:type="table">
    <w:name w:val="Normal Table"/>
    <w:uiPriority w:val="99"/>
    <w:semiHidden/>
    <w:unhideWhenUsed/>
    <w:tblPr>
      <w:tblInd w:type="dxa" w:w="0"/>
      <w:tblCellMar>
        <w:top w:type="dxa" w:w="0"/>
        <w:left w:type="dxa" w:w="108"/>
        <w:bottom w:type="dxa" w:w="0"/>
        <w:right w:type="dxa" w:w="108"/>
      </w:tblCellMar>
    </w:tblPr>
  </w:style>
  <w:style w:default="1" w:styleId="NoList" w:type="numbering">
    <w:name w:val="No List"/>
    <w:uiPriority w:val="99"/>
    <w:semiHidden/>
    <w:unhideWhenUsed/>
  </w:style>
  <w:style w:customStyle="1" w:styleId="Heading1Char" w:type="character">
    <w:name w:val="Heading 1 Char"/>
    <w:basedOn w:val="DefaultParagraphFont"/>
    <w:link w:val="Heading1"/>
    <w:uiPriority w:val="9"/>
    <w:rsid w:val="00111FAE"/>
    <w:rPr>
      <w:rFonts w:asciiTheme="majorHAnsi" w:cstheme="majorBidi" w:eastAsiaTheme="majorEastAsia" w:hAnsiTheme="majorHAnsi"/>
      <w:b/>
      <w:bCs/>
      <w:color w:themeColor="accent1" w:themeShade="B5" w:val="345A8A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allowPNG/>
  <w:doNotSaveAsSingleFile/>
</w:webSettings>
</file>

<file path=word/_rels/document.xml.rels><?xml version="1.0" encoding="UTF-8" standalone="no" ?>
<Relationships xmlns="http://schemas.openxmlformats.org/package/2006/relationships">
  <Relationship Id="rId6" Target="styles.xml" Type="http://schemas.openxmlformats.org/officeDocument/2006/relationships/styles"/>
  <Relationship Id="rId1" Target="header1.xml" Type="http://schemas.openxmlformats.org/officeDocument/2006/relationships/header"/>
  <Relationship Id="rId2" Target="header2.xml" Type="http://schemas.openxmlformats.org/officeDocument/2006/relationships/header"/>
  <Relationship Id="rId3" Target="footer3.xml" Type="http://schemas.openxmlformats.org/officeDocument/2006/relationships/footer"/>
  <Relationship Id="rId8" Target="webSettings.xml" Type="http://schemas.openxmlformats.org/officeDocument/2006/relationships/webSettings"/>
  <Relationship Id="rId4" Target="fontTable.xml" Type="http://schemas.openxmlformats.org/officeDocument/2006/relationships/fontTable"/>
  <Relationship Id="rId9" Target="theme/theme1.xml" Type="http://schemas.openxmlformats.org/officeDocument/2006/relationships/theme"/>
  <Relationship Id="rId7" Target="stylesWithEffects.xml" Type="http://schemas.microsoft.com/office/2007/relationships/stylesWithEffects"/>
  <Relationship Id="rId5" Target="settings.xml" Type="http://schemas.openxmlformats.org/officeDocument/2006/relationships/settings"/>
</Relationships>

</file>

<file path=word/theme/theme1.xml><?xml version="1.0" encoding="utf-8"?>
<a:theme xmlns:a="http://schemas.openxmlformats.org/drawingml/2006/main" xmlns:a15="http://schemas.microsoft.com/office/drawing/2012/main" xmlns:asvg="http://schemas.microsoft.com/office/drawing/2016/SVG/main" xmlns:c="http://schemas.openxmlformats.org/drawingml/2006/chart" xmlns:co="http://ncloudtech.com" xmlns:co-ooxml="http://ncloudtech.com/ooxml" xmlns:m="http://schemas.openxmlformats.org/officeDocument/2006/math" xmlns:mc="http://schemas.openxmlformats.org/markup-compatibility/2006" xmlns:o="urn:schemas-microsoft-com:office:office" xmlns:p="http://schemas.openxmlformats.org/presentationml/2006/main" xmlns:pic="http://schemas.openxmlformats.org/drawingml/2006/picture" xmlns:r="http://schemas.openxmlformats.org/officeDocument/2006/relationships" xmlns:s="http://schemas.openxmlformats.org/officeDocument/2006/sharedTypes" xmlns:sl="http://schemas.openxmlformats.org/schemaLibrary/2006/main" xmlns:v="urn:schemas-microsoft-com:vml" xmlns:w="http://schemas.openxmlformats.org/wordprocessingml/2006/main" xmlns:w10="urn:schemas-microsoft-com:office:word" xmlns:w14="http://schemas.microsoft.com/office/word/2010/wordml" xmlns:w15="http://schemas.microsoft.com/office/word/2012/wordml" xmlns:wp="http://schemas.openxmlformats.org/drawingml/2006/wordprocessingDrawing" xmlns:wpg="http://schemas.microsoft.com/office/word/2010/wordprocessingGroup" xmlns:wps="http://schemas.microsoft.com/office/word/2010/wordprocessingShape" xmlns:x="urn:schemas-microsoft-com:office:excel" xmlns:x12ac="http://schemas.microsoft.com/office/spreadsheetml/2011/1/ac" xmlns:x14="http://schemas.microsoft.com/office/spreadsheetml/2009/9/main" xmlns:xdr="http://schemas.openxmlformats.org/drawingml/2006/spreadsheetDrawing" xmlns:xm="http://schemas.microsoft.com/office/excel/2006/main" name="Тема Office">
  <a:themeElements>
    <a:clrScheme name="Стандартная">
      <a:dk1>
        <a:srgbClr val="000000"/>
      </a:dk1>
      <a:lt1>
        <a:srgbClr val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</a:majorFont>
      <a:minorFont>
        <a:latin typeface="Calibri"/>
        <a:ea typeface=""/>
        <a:cs typeface=""/>
      </a:minorFont>
    </a:fontScheme>
    <a:fmtScheme name="Стандартная">
      <a:fillStyleLst>
        <a:solidFill>
          <a:schemeClr val="phClr"/>
        </a:solidFill>
        <a:gradFill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</a:gradFill>
        <a:gradFill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</a:gradFill>
      </a:fillStyleLst>
      <a:lnStyleLst>
        <a:ln w="9525">
          <a:solidFill>
            <a:schemeClr val="phClr">
              <a:shade val="95000"/>
              <a:satMod val="105000"/>
            </a:schemeClr>
          </a:solidFill>
          <a:prstDash val="solid"/>
        </a:ln>
        <a:ln w="25400">
          <a:solidFill>
            <a:schemeClr val="phClr"/>
          </a:solidFill>
          <a:prstDash val="solid"/>
        </a:ln>
        <a:ln w="38100">
          <a:solidFill>
            <a:schemeClr val="phClr"/>
          </a:solidFill>
          <a:prstDash val="solid"/>
        </a:ln>
      </a:lnStyleLst>
      <a:effectStyleLst>
        <a:effectStyle>
          <a:effectLst>
            <a:outerShdw>
              <a:srgbClr val="000000">
                <a:alpha val="38000"/>
              </a:srgbClr>
            </a:outerShdw>
          </a:effectLst>
        </a:effectStyle>
        <a:effectStyle>
          <a:effectLst>
            <a:outerShdw>
              <a:srgbClr val="000000">
                <a:alpha val="35000"/>
              </a:srgbClr>
            </a:outerShdw>
          </a:effectLst>
        </a:effectStyle>
        <a:effectStyle>
          <a:effectLst>
            <a:outerShdw>
              <a:srgbClr val="000000">
                <a:alpha val="35000"/>
              </a:srgbClr>
            </a:outerShdw>
          </a:effectLst>
        </a:effectStyle>
      </a:effectStyleLst>
      <a:bgFillStyleLst>
        <a:solidFill>
          <a:schemeClr val="phClr"/>
        </a:solidFill>
        <a:gradFill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</a:gradFill>
        <a:gradFill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</a:gradFill>
      </a:bgFillStyleLst>
    </a:fmtScheme>
  </a:themeElements>
</a:theme>
</file>

<file path=docProps/app.xml><?xml version="1.0" encoding="utf-8"?>
<Properties xmlns="http://schemas.openxmlformats.org/officeDocument/2006/extended-properties">
  <Template>Normal.dotm</Template>
  <TotalTime>0</TotalTime>
  <DocSecurity>0</DocSecurity>
  <ScaleCrop>false</ScaleCrop>
  <Application>MyOffice-CoreFramework-Android/35-1293.911.9687.924.1@07277fa9125d0a3f5e88f9c37df869f86b5b38e1</Applicat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2025-01-09T11:50:00Z</dcterms:created>
  <dcterms:modified xsi:type="dcterms:W3CDTF">2025-01-10T12:47:00Z</dcterms:modified>
</cp:coreProperties>
</file>